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9089C" w14:textId="5EC7F716" w:rsidR="00AA75E7" w:rsidRPr="007D1EC2" w:rsidRDefault="00DD6C8F" w:rsidP="00B97B98">
      <w:pPr>
        <w:rPr>
          <w:rFonts w:ascii="Times New Roman" w:eastAsia="Calibri" w:hAnsi="Times New Roman" w:cs="Times New Roman"/>
          <w:b/>
          <w:bCs/>
          <w:color w:val="FF0000"/>
          <w:highlight w:val="white"/>
          <w:u w:color="FF0000"/>
        </w:rPr>
      </w:pPr>
      <w:r w:rsidRPr="007D1EC2">
        <w:rPr>
          <w:rFonts w:ascii="Times New Roman" w:eastAsia="Calibri" w:hAnsi="Times New Roman" w:cs="Times New Roman"/>
          <w:b/>
          <w:bCs/>
          <w:color w:val="000000"/>
          <w:highlight w:val="white"/>
          <w:u w:color="FF0000"/>
        </w:rPr>
        <w:t>AN TOÀN BỨC XẠ</w:t>
      </w:r>
      <w:r w:rsidR="00997A6A" w:rsidRPr="007D1EC2">
        <w:rPr>
          <w:rFonts w:ascii="Times New Roman" w:eastAsia="Calibri" w:hAnsi="Times New Roman" w:cs="Times New Roman"/>
          <w:b/>
          <w:bCs/>
          <w:color w:val="000000"/>
          <w:highlight w:val="white"/>
          <w:u w:color="FF0000"/>
        </w:rPr>
        <w:t xml:space="preserve"> ĐIỆN</w:t>
      </w:r>
      <w:r w:rsidR="00FE52FD" w:rsidRPr="007D1EC2">
        <w:rPr>
          <w:rFonts w:ascii="Times New Roman" w:eastAsia="Calibri" w:hAnsi="Times New Roman" w:cs="Times New Roman"/>
          <w:b/>
          <w:bCs/>
          <w:color w:val="000000"/>
          <w:highlight w:val="white"/>
          <w:u w:color="FF0000"/>
        </w:rPr>
        <w:t xml:space="preserve"> </w:t>
      </w:r>
      <w:r w:rsidR="00997A6A" w:rsidRPr="007D1EC2">
        <w:rPr>
          <w:rFonts w:ascii="Times New Roman" w:eastAsia="Calibri" w:hAnsi="Times New Roman" w:cs="Times New Roman"/>
          <w:b/>
          <w:bCs/>
          <w:color w:val="000000"/>
          <w:highlight w:val="white"/>
          <w:u w:color="FF0000"/>
        </w:rPr>
        <w:t>TỪ</w:t>
      </w:r>
      <w:r w:rsidRPr="007D1EC2">
        <w:rPr>
          <w:rFonts w:ascii="Times New Roman" w:eastAsia="Calibri" w:hAnsi="Times New Roman" w:cs="Times New Roman"/>
          <w:b/>
          <w:bCs/>
          <w:color w:val="000000"/>
          <w:highlight w:val="white"/>
          <w:u w:color="FF0000"/>
        </w:rPr>
        <w:t xml:space="preserve"> </w:t>
      </w:r>
      <w:r w:rsidRPr="005A3C27">
        <w:rPr>
          <w:rFonts w:ascii="Times New Roman" w:eastAsia="Calibri" w:hAnsi="Times New Roman" w:cs="Times New Roman"/>
          <w:b/>
          <w:bCs/>
          <w:color w:val="000000" w:themeColor="text1"/>
          <w:highlight w:val="white"/>
          <w:u w:color="FF0000"/>
        </w:rPr>
        <w:t>(</w:t>
      </w:r>
      <w:r w:rsidR="00613623" w:rsidRPr="005A3C27">
        <w:rPr>
          <w:rFonts w:ascii="Times New Roman" w:eastAsia="Calibri" w:hAnsi="Times New Roman" w:cs="Times New Roman"/>
          <w:b/>
          <w:bCs/>
          <w:color w:val="000000" w:themeColor="text1"/>
          <w:u w:color="FF0000"/>
        </w:rPr>
        <w:t xml:space="preserve">A. </w:t>
      </w:r>
      <w:r w:rsidR="006B434A" w:rsidRPr="005A3C27">
        <w:rPr>
          <w:rFonts w:ascii="Times New Roman" w:hAnsi="Times New Roman" w:cs="Times New Roman"/>
          <w:b/>
          <w:bCs/>
          <w:color w:val="000000" w:themeColor="text1"/>
          <w:shd w:val="clear" w:color="auto" w:fill="FFFFFF"/>
        </w:rPr>
        <w:t>E</w:t>
      </w:r>
      <w:r w:rsidR="001B56F9" w:rsidRPr="005A3C27">
        <w:rPr>
          <w:rFonts w:ascii="Times New Roman" w:hAnsi="Times New Roman" w:cs="Times New Roman"/>
          <w:b/>
          <w:bCs/>
          <w:color w:val="000000" w:themeColor="text1"/>
          <w:shd w:val="clear" w:color="auto" w:fill="FFFFFF"/>
        </w:rPr>
        <w:t>lectromagnetic</w:t>
      </w:r>
      <w:r w:rsidR="006B434A" w:rsidRPr="005A3C27">
        <w:rPr>
          <w:rFonts w:ascii="Times New Roman" w:hAnsi="Times New Roman" w:cs="Times New Roman"/>
          <w:b/>
          <w:bCs/>
          <w:color w:val="000000" w:themeColor="text1"/>
          <w:shd w:val="clear" w:color="auto" w:fill="FFFFFF"/>
        </w:rPr>
        <w:t xml:space="preserve"> Radiation S</w:t>
      </w:r>
      <w:r w:rsidRPr="005A3C27">
        <w:rPr>
          <w:rFonts w:ascii="Times New Roman" w:hAnsi="Times New Roman" w:cs="Times New Roman"/>
          <w:b/>
          <w:bCs/>
          <w:color w:val="000000" w:themeColor="text1"/>
          <w:shd w:val="clear" w:color="auto" w:fill="FFFFFF"/>
        </w:rPr>
        <w:t>afety</w:t>
      </w:r>
      <w:r w:rsidRPr="005A3C27">
        <w:rPr>
          <w:rFonts w:ascii="Times New Roman" w:eastAsia="Calibri" w:hAnsi="Times New Roman" w:cs="Times New Roman"/>
          <w:b/>
          <w:bCs/>
          <w:color w:val="000000" w:themeColor="text1"/>
          <w:highlight w:val="white"/>
          <w:u w:color="FF0000"/>
        </w:rPr>
        <w:t>)</w:t>
      </w:r>
    </w:p>
    <w:p w14:paraId="3D9F9EDA" w14:textId="55EB6BC6" w:rsidR="00AA75E7" w:rsidRPr="007D1EC2" w:rsidRDefault="007D1EC2" w:rsidP="00B97B98">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l</w:t>
      </w:r>
      <w:r w:rsidRPr="007D1EC2">
        <w:rPr>
          <w:rFonts w:ascii="Times New Roman" w:hAnsi="Times New Roman" w:cs="Times New Roman"/>
          <w:color w:val="000000" w:themeColor="text1"/>
          <w:sz w:val="28"/>
          <w:szCs w:val="28"/>
          <w:shd w:val="clear" w:color="auto" w:fill="FFFFFF"/>
        </w:rPr>
        <w:t xml:space="preserve">à </w:t>
      </w:r>
      <w:r w:rsidR="00AA75E7" w:rsidRPr="007D1EC2">
        <w:rPr>
          <w:rFonts w:ascii="Times New Roman" w:hAnsi="Times New Roman" w:cs="Times New Roman"/>
          <w:color w:val="000000" w:themeColor="text1"/>
          <w:sz w:val="28"/>
          <w:szCs w:val="28"/>
          <w:shd w:val="clear" w:color="auto" w:fill="FFFFFF"/>
        </w:rPr>
        <w:t>trạng thái được bảo vệ khỏi sự tác hại hoặ</w:t>
      </w:r>
      <w:r w:rsidR="000B5D35" w:rsidRPr="007D1EC2">
        <w:rPr>
          <w:rFonts w:ascii="Times New Roman" w:hAnsi="Times New Roman" w:cs="Times New Roman"/>
          <w:color w:val="000000" w:themeColor="text1"/>
          <w:sz w:val="28"/>
          <w:szCs w:val="28"/>
          <w:shd w:val="clear" w:color="auto" w:fill="FFFFFF"/>
        </w:rPr>
        <w:t>c các hệ</w:t>
      </w:r>
      <w:r w:rsidR="00AA75E7" w:rsidRPr="007D1EC2">
        <w:rPr>
          <w:rFonts w:ascii="Times New Roman" w:hAnsi="Times New Roman" w:cs="Times New Roman"/>
          <w:color w:val="000000" w:themeColor="text1"/>
          <w:sz w:val="28"/>
          <w:szCs w:val="28"/>
          <w:shd w:val="clear" w:color="auto" w:fill="FFFFFF"/>
        </w:rPr>
        <w:t xml:space="preserve"> quả không mong muốn khác do bức xạ điện từ gây ra</w:t>
      </w:r>
      <w:r w:rsidR="005C0A62" w:rsidRPr="007D1EC2">
        <w:rPr>
          <w:rFonts w:ascii="Times New Roman" w:hAnsi="Times New Roman" w:cs="Times New Roman"/>
          <w:color w:val="000000" w:themeColor="text1"/>
          <w:sz w:val="28"/>
          <w:szCs w:val="28"/>
          <w:shd w:val="clear" w:color="auto" w:fill="FFFFFF"/>
        </w:rPr>
        <w:t>; trong đó b</w:t>
      </w:r>
      <w:r w:rsidR="00E673C1" w:rsidRPr="007D1EC2">
        <w:rPr>
          <w:rFonts w:ascii="Times New Roman" w:hAnsi="Times New Roman" w:cs="Times New Roman"/>
          <w:color w:val="000000" w:themeColor="text1"/>
          <w:sz w:val="28"/>
          <w:szCs w:val="28"/>
          <w:shd w:val="clear" w:color="auto" w:fill="FFFFFF"/>
        </w:rPr>
        <w:t>ức xạ là sự lan tỏa hoặc truyền năng lượng dưới dạng sóng hoặc hạt qua không gian hoặc qua môi trường điện môi khác</w:t>
      </w:r>
      <w:r w:rsidR="005C0A62" w:rsidRPr="007D1EC2">
        <w:rPr>
          <w:rFonts w:ascii="Times New Roman" w:hAnsi="Times New Roman" w:cs="Times New Roman"/>
          <w:color w:val="000000" w:themeColor="text1"/>
          <w:sz w:val="28"/>
          <w:szCs w:val="28"/>
          <w:shd w:val="clear" w:color="auto" w:fill="FFFFFF"/>
        </w:rPr>
        <w:t>, b</w:t>
      </w:r>
      <w:r w:rsidR="00E673C1" w:rsidRPr="007D1EC2">
        <w:rPr>
          <w:rFonts w:ascii="Times New Roman" w:hAnsi="Times New Roman" w:cs="Times New Roman"/>
          <w:color w:val="000000" w:themeColor="text1"/>
          <w:sz w:val="28"/>
          <w:szCs w:val="28"/>
          <w:shd w:val="clear" w:color="auto" w:fill="FFFFFF"/>
        </w:rPr>
        <w:t>ức xạ điện từ gồm: sóng tần số Radio, hồng ngoại, ánh sáng ban ngày, tia cực tím, tia gamma...</w:t>
      </w:r>
      <w:r w:rsidR="005C0A62" w:rsidRPr="007D1EC2">
        <w:rPr>
          <w:rFonts w:ascii="Times New Roman" w:hAnsi="Times New Roman" w:cs="Times New Roman"/>
          <w:color w:val="000000" w:themeColor="text1"/>
          <w:sz w:val="28"/>
          <w:szCs w:val="28"/>
          <w:shd w:val="clear" w:color="auto" w:fill="FFFFFF"/>
        </w:rPr>
        <w:t xml:space="preserve"> </w:t>
      </w:r>
      <w:r w:rsidR="00AA75E7" w:rsidRPr="007D1EC2">
        <w:rPr>
          <w:rFonts w:ascii="Times New Roman" w:hAnsi="Times New Roman" w:cs="Times New Roman"/>
          <w:color w:val="000000" w:themeColor="text1"/>
          <w:sz w:val="28"/>
          <w:szCs w:val="28"/>
          <w:shd w:val="clear" w:color="auto" w:fill="FFFFFF"/>
        </w:rPr>
        <w:t>Sự an toàn cũng có thể</w:t>
      </w:r>
      <w:r w:rsidR="002412E7" w:rsidRPr="007D1EC2">
        <w:rPr>
          <w:rFonts w:ascii="Times New Roman" w:hAnsi="Times New Roman" w:cs="Times New Roman"/>
          <w:color w:val="000000" w:themeColor="text1"/>
          <w:sz w:val="28"/>
          <w:szCs w:val="28"/>
          <w:shd w:val="clear" w:color="auto" w:fill="FFFFFF"/>
        </w:rPr>
        <w:t xml:space="preserve"> là</w:t>
      </w:r>
      <w:r w:rsidR="00AA75E7" w:rsidRPr="007D1EC2">
        <w:rPr>
          <w:rFonts w:ascii="Times New Roman" w:hAnsi="Times New Roman" w:cs="Times New Roman"/>
          <w:color w:val="000000" w:themeColor="text1"/>
          <w:sz w:val="28"/>
          <w:szCs w:val="28"/>
          <w:shd w:val="clear" w:color="auto" w:fill="FFFFFF"/>
        </w:rPr>
        <w:t xml:space="preserve"> kiểm soát </w:t>
      </w:r>
      <w:r w:rsidR="002412E7" w:rsidRPr="007D1EC2">
        <w:rPr>
          <w:rFonts w:ascii="Times New Roman" w:hAnsi="Times New Roman" w:cs="Times New Roman"/>
          <w:color w:val="000000" w:themeColor="text1"/>
          <w:sz w:val="28"/>
          <w:szCs w:val="28"/>
          <w:shd w:val="clear" w:color="auto" w:fill="FFFFFF"/>
        </w:rPr>
        <w:t xml:space="preserve">được </w:t>
      </w:r>
      <w:r w:rsidR="00AA75E7" w:rsidRPr="007D1EC2">
        <w:rPr>
          <w:rFonts w:ascii="Times New Roman" w:hAnsi="Times New Roman" w:cs="Times New Roman"/>
          <w:color w:val="000000" w:themeColor="text1"/>
          <w:sz w:val="28"/>
          <w:szCs w:val="28"/>
          <w:shd w:val="clear" w:color="auto" w:fill="FFFFFF"/>
        </w:rPr>
        <w:t>các mối nguy hại để đạ</w:t>
      </w:r>
      <w:r w:rsidR="00AF6895" w:rsidRPr="007D1EC2">
        <w:rPr>
          <w:rFonts w:ascii="Times New Roman" w:hAnsi="Times New Roman" w:cs="Times New Roman"/>
          <w:color w:val="000000" w:themeColor="text1"/>
          <w:sz w:val="28"/>
          <w:szCs w:val="28"/>
          <w:shd w:val="clear" w:color="auto" w:fill="FFFFFF"/>
        </w:rPr>
        <w:t>t</w:t>
      </w:r>
      <w:r w:rsidR="00AA75E7" w:rsidRPr="007D1EC2">
        <w:rPr>
          <w:rFonts w:ascii="Times New Roman" w:hAnsi="Times New Roman" w:cs="Times New Roman"/>
          <w:color w:val="000000" w:themeColor="text1"/>
          <w:sz w:val="28"/>
          <w:szCs w:val="28"/>
          <w:shd w:val="clear" w:color="auto" w:fill="FFFFFF"/>
        </w:rPr>
        <w:t xml:space="preserve"> mức độ rủi ro chấp nhận được.</w:t>
      </w:r>
    </w:p>
    <w:p w14:paraId="551B4ECC" w14:textId="2D9AF480" w:rsidR="00B57B3F" w:rsidRPr="007D1EC2" w:rsidRDefault="005D64E7" w:rsidP="00B97B98">
      <w:pPr>
        <w:jc w:val="both"/>
        <w:rPr>
          <w:rFonts w:ascii="Times New Roman" w:hAnsi="Times New Roman" w:cs="Times New Roman"/>
          <w:color w:val="000000"/>
          <w:sz w:val="28"/>
          <w:szCs w:val="28"/>
        </w:rPr>
      </w:pPr>
      <w:r w:rsidRPr="007D1EC2">
        <w:rPr>
          <w:rFonts w:ascii="Times New Roman" w:eastAsia="Times New Roman" w:hAnsi="Times New Roman" w:cs="Times New Roman"/>
          <w:color w:val="000000"/>
          <w:sz w:val="28"/>
          <w:szCs w:val="28"/>
        </w:rPr>
        <w:t xml:space="preserve">          </w:t>
      </w:r>
      <w:r w:rsidR="006E4ED1" w:rsidRPr="007D1EC2">
        <w:rPr>
          <w:rFonts w:ascii="Times New Roman" w:eastAsia="Times New Roman" w:hAnsi="Times New Roman" w:cs="Times New Roman"/>
          <w:color w:val="000000"/>
          <w:sz w:val="28"/>
          <w:szCs w:val="28"/>
        </w:rPr>
        <w:t>Theo l</w:t>
      </w:r>
      <w:r w:rsidR="009728FE" w:rsidRPr="007D1EC2">
        <w:rPr>
          <w:rFonts w:ascii="Times New Roman" w:eastAsia="Times New Roman" w:hAnsi="Times New Roman" w:cs="Times New Roman"/>
          <w:color w:val="000000"/>
          <w:sz w:val="28"/>
          <w:szCs w:val="28"/>
        </w:rPr>
        <w:t>uật số</w:t>
      </w:r>
      <w:r w:rsidR="00AA75E7" w:rsidRPr="007D1EC2">
        <w:rPr>
          <w:rFonts w:ascii="Times New Roman" w:eastAsia="Times New Roman" w:hAnsi="Times New Roman" w:cs="Times New Roman"/>
          <w:color w:val="000000"/>
          <w:sz w:val="28"/>
          <w:szCs w:val="28"/>
        </w:rPr>
        <w:t xml:space="preserve"> 18/2008/QH12</w:t>
      </w:r>
      <w:r w:rsidR="009728FE" w:rsidRPr="007D1EC2">
        <w:rPr>
          <w:rFonts w:ascii="Times New Roman" w:eastAsia="Times New Roman" w:hAnsi="Times New Roman" w:cs="Times New Roman"/>
          <w:color w:val="000000"/>
          <w:sz w:val="28"/>
          <w:szCs w:val="28"/>
        </w:rPr>
        <w:t>:</w:t>
      </w:r>
      <w:r w:rsidR="006E4ED1" w:rsidRPr="007D1EC2">
        <w:rPr>
          <w:rFonts w:ascii="Times New Roman" w:eastAsia="Times New Roman" w:hAnsi="Times New Roman" w:cs="Times New Roman"/>
          <w:color w:val="000000"/>
          <w:sz w:val="28"/>
          <w:szCs w:val="28"/>
        </w:rPr>
        <w:t xml:space="preserve"> </w:t>
      </w:r>
      <w:r w:rsidR="00AA75E7" w:rsidRPr="00406E60">
        <w:rPr>
          <w:rFonts w:ascii="Times New Roman" w:hAnsi="Times New Roman" w:cs="Times New Roman"/>
          <w:color w:val="000000"/>
          <w:sz w:val="28"/>
          <w:szCs w:val="28"/>
        </w:rPr>
        <w:t xml:space="preserve">“An toàn bức xạ </w:t>
      </w:r>
      <w:r w:rsidR="00AA75E7" w:rsidRPr="007D1EC2">
        <w:rPr>
          <w:rFonts w:ascii="Times New Roman" w:hAnsi="Times New Roman" w:cs="Times New Roman"/>
          <w:color w:val="000000"/>
          <w:sz w:val="28"/>
          <w:szCs w:val="28"/>
        </w:rPr>
        <w:t>là việc thực hiện các biện pháp chống lại tác hại của bức xạ, ngăn ngừa sự cố hoặc giảm thiểu hậu quả của chiếu xạ đối với con người, môi trường”.</w:t>
      </w:r>
    </w:p>
    <w:p w14:paraId="1C5790FD" w14:textId="6D4741B7" w:rsidR="00AA75E7" w:rsidRPr="007D1EC2" w:rsidRDefault="001B2075" w:rsidP="00B97B98">
      <w:pPr>
        <w:pStyle w:val="NormalWeb"/>
        <w:spacing w:after="0"/>
        <w:jc w:val="both"/>
        <w:rPr>
          <w:color w:val="000000" w:themeColor="text1"/>
          <w:sz w:val="28"/>
          <w:szCs w:val="28"/>
          <w:highlight w:val="white"/>
          <w:u w:color="FF0000"/>
        </w:rPr>
      </w:pPr>
      <w:r w:rsidRPr="007D1EC2">
        <w:rPr>
          <w:color w:val="000000" w:themeColor="text1"/>
          <w:sz w:val="28"/>
          <w:szCs w:val="28"/>
          <w:highlight w:val="white"/>
          <w:u w:color="FF0000"/>
        </w:rPr>
        <w:t xml:space="preserve">          </w:t>
      </w:r>
      <w:r w:rsidR="003C461C" w:rsidRPr="007D1EC2">
        <w:rPr>
          <w:color w:val="000000"/>
          <w:sz w:val="28"/>
          <w:szCs w:val="28"/>
        </w:rPr>
        <w:t xml:space="preserve">Bức xạ phát ra </w:t>
      </w:r>
      <w:r w:rsidR="00AA75E7" w:rsidRPr="007D1EC2">
        <w:rPr>
          <w:color w:val="000000"/>
          <w:sz w:val="28"/>
          <w:szCs w:val="28"/>
        </w:rPr>
        <w:t>từ cả nguồn bức xạ tự nhiên và nhân tạo, nó ở hai dạng: </w:t>
      </w:r>
      <w:r w:rsidR="00AA75E7" w:rsidRPr="007D1EC2">
        <w:rPr>
          <w:iCs/>
          <w:color w:val="000000"/>
          <w:sz w:val="28"/>
          <w:szCs w:val="28"/>
        </w:rPr>
        <w:t>bức xạ ion hóa</w:t>
      </w:r>
      <w:r w:rsidR="00AA75E7" w:rsidRPr="007D1EC2">
        <w:rPr>
          <w:color w:val="000000"/>
          <w:sz w:val="28"/>
          <w:szCs w:val="28"/>
        </w:rPr>
        <w:t> và </w:t>
      </w:r>
      <w:r w:rsidR="00AA75E7" w:rsidRPr="007D1EC2">
        <w:rPr>
          <w:iCs/>
          <w:color w:val="000000"/>
          <w:sz w:val="28"/>
          <w:szCs w:val="28"/>
        </w:rPr>
        <w:t>không ion hóa</w:t>
      </w:r>
      <w:r w:rsidR="00AA75E7" w:rsidRPr="007D1EC2">
        <w:rPr>
          <w:color w:val="000000"/>
          <w:sz w:val="28"/>
          <w:szCs w:val="28"/>
        </w:rPr>
        <w:t xml:space="preserve">. </w:t>
      </w:r>
      <w:r w:rsidRPr="007D1EC2">
        <w:rPr>
          <w:color w:val="000000" w:themeColor="text1"/>
          <w:sz w:val="28"/>
          <w:szCs w:val="28"/>
          <w:highlight w:val="white"/>
          <w:u w:color="FF0000"/>
        </w:rPr>
        <w:t>An toàn bứ</w:t>
      </w:r>
      <w:r w:rsidR="0026514B" w:rsidRPr="007D1EC2">
        <w:rPr>
          <w:color w:val="000000" w:themeColor="text1"/>
          <w:sz w:val="28"/>
          <w:szCs w:val="28"/>
          <w:highlight w:val="white"/>
          <w:u w:color="FF0000"/>
        </w:rPr>
        <w:t xml:space="preserve">c xạ điện từ </w:t>
      </w:r>
      <w:r w:rsidR="00525196" w:rsidRPr="007D1EC2">
        <w:rPr>
          <w:color w:val="000000" w:themeColor="text1"/>
          <w:sz w:val="28"/>
          <w:szCs w:val="28"/>
          <w:highlight w:val="white"/>
          <w:u w:color="FF0000"/>
        </w:rPr>
        <w:t xml:space="preserve">(ATBXĐT) </w:t>
      </w:r>
      <w:r w:rsidR="0026514B" w:rsidRPr="007D1EC2">
        <w:rPr>
          <w:color w:val="000000" w:themeColor="text1"/>
          <w:sz w:val="28"/>
          <w:szCs w:val="28"/>
          <w:highlight w:val="white"/>
          <w:u w:color="FF0000"/>
        </w:rPr>
        <w:t>được đặt ra</w:t>
      </w:r>
      <w:r w:rsidRPr="007D1EC2">
        <w:rPr>
          <w:color w:val="000000" w:themeColor="text1"/>
          <w:sz w:val="28"/>
          <w:szCs w:val="28"/>
          <w:highlight w:val="white"/>
          <w:u w:color="FF0000"/>
        </w:rPr>
        <w:t xml:space="preserve"> là để ngăn ngừ</w:t>
      </w:r>
      <w:r w:rsidR="00D05636" w:rsidRPr="007D1EC2">
        <w:rPr>
          <w:color w:val="000000" w:themeColor="text1"/>
          <w:sz w:val="28"/>
          <w:szCs w:val="28"/>
          <w:highlight w:val="white"/>
          <w:u w:color="FF0000"/>
        </w:rPr>
        <w:t xml:space="preserve">a các bức xạ </w:t>
      </w:r>
      <w:r w:rsidR="00330804" w:rsidRPr="007D1EC2">
        <w:rPr>
          <w:color w:val="000000" w:themeColor="text1"/>
          <w:sz w:val="28"/>
          <w:szCs w:val="28"/>
          <w:highlight w:val="white"/>
          <w:u w:color="FF0000"/>
        </w:rPr>
        <w:t xml:space="preserve">không </w:t>
      </w:r>
      <w:r w:rsidR="00D05636" w:rsidRPr="007D1EC2">
        <w:rPr>
          <w:color w:val="000000" w:themeColor="text1"/>
          <w:sz w:val="28"/>
          <w:szCs w:val="28"/>
          <w:highlight w:val="white"/>
          <w:u w:color="FF0000"/>
        </w:rPr>
        <w:t>ion h</w:t>
      </w:r>
      <w:r w:rsidR="00DF59E4" w:rsidRPr="007D1EC2">
        <w:rPr>
          <w:color w:val="000000" w:themeColor="text1"/>
          <w:sz w:val="28"/>
          <w:szCs w:val="28"/>
          <w:u w:color="FF0000"/>
        </w:rPr>
        <w:t>óa</w:t>
      </w:r>
      <w:r w:rsidR="00AA75E7" w:rsidRPr="007D1EC2">
        <w:rPr>
          <w:sz w:val="28"/>
          <w:szCs w:val="28"/>
          <w:shd w:val="clear" w:color="auto" w:fill="FFFFFF"/>
        </w:rPr>
        <w:t>. </w:t>
      </w:r>
    </w:p>
    <w:p w14:paraId="66620BE1" w14:textId="364E4761" w:rsidR="00B57B3F" w:rsidRPr="007D1EC2" w:rsidRDefault="006E4ED1" w:rsidP="00D72266">
      <w:pPr>
        <w:pStyle w:val="NormalWeb"/>
        <w:spacing w:after="0"/>
        <w:jc w:val="both"/>
        <w:rPr>
          <w:color w:val="000000"/>
          <w:sz w:val="28"/>
          <w:szCs w:val="28"/>
        </w:rPr>
      </w:pPr>
      <w:r w:rsidRPr="007D1EC2">
        <w:rPr>
          <w:color w:val="000000" w:themeColor="text1"/>
          <w:sz w:val="28"/>
          <w:szCs w:val="28"/>
          <w:highlight w:val="white"/>
          <w:u w:color="FF0000"/>
        </w:rPr>
        <w:t xml:space="preserve">          K</w:t>
      </w:r>
      <w:r w:rsidR="00AA75E7" w:rsidRPr="007D1EC2">
        <w:rPr>
          <w:color w:val="000000" w:themeColor="text1"/>
          <w:sz w:val="28"/>
          <w:szCs w:val="28"/>
          <w:highlight w:val="white"/>
          <w:u w:color="FF0000"/>
        </w:rPr>
        <w:t xml:space="preserve">hi con người </w:t>
      </w:r>
      <w:r w:rsidR="00AA75E7" w:rsidRPr="007D1EC2">
        <w:rPr>
          <w:color w:val="000000" w:themeColor="text1"/>
          <w:sz w:val="28"/>
          <w:szCs w:val="28"/>
          <w:u w:color="FF0000"/>
        </w:rPr>
        <w:t>t</w:t>
      </w:r>
      <w:r w:rsidR="00AA75E7" w:rsidRPr="007D1EC2">
        <w:rPr>
          <w:color w:val="000000" w:themeColor="text1"/>
          <w:sz w:val="28"/>
          <w:szCs w:val="28"/>
        </w:rPr>
        <w:t xml:space="preserve">iếp xúc trực tiếp với </w:t>
      </w:r>
      <w:r w:rsidR="00E54603" w:rsidRPr="007D1EC2">
        <w:rPr>
          <w:color w:val="000000" w:themeColor="text1"/>
          <w:sz w:val="28"/>
          <w:szCs w:val="28"/>
        </w:rPr>
        <w:t xml:space="preserve">bức xạ </w:t>
      </w:r>
      <w:r w:rsidR="00AF6C2C" w:rsidRPr="007D1EC2">
        <w:rPr>
          <w:color w:val="000000" w:themeColor="text1"/>
          <w:sz w:val="28"/>
          <w:szCs w:val="28"/>
        </w:rPr>
        <w:t>điện từ</w:t>
      </w:r>
      <w:r w:rsidR="00AA75E7" w:rsidRPr="007D1EC2">
        <w:rPr>
          <w:color w:val="000000" w:themeColor="text1"/>
          <w:sz w:val="28"/>
          <w:szCs w:val="28"/>
        </w:rPr>
        <w:t xml:space="preserve"> từ</w:t>
      </w:r>
      <w:r w:rsidR="006D7800" w:rsidRPr="007D1EC2">
        <w:rPr>
          <w:color w:val="000000" w:themeColor="text1"/>
          <w:sz w:val="28"/>
          <w:szCs w:val="28"/>
        </w:rPr>
        <w:t xml:space="preserve"> thiết bị điện tử </w:t>
      </w:r>
      <w:r w:rsidR="00AA75E7" w:rsidRPr="007D1EC2">
        <w:rPr>
          <w:color w:val="000000" w:themeColor="text1"/>
          <w:sz w:val="28"/>
          <w:szCs w:val="28"/>
        </w:rPr>
        <w:t>có thể dẫn đến tổn thương mô do nhiệt, các thiết bị điện tử khác đặt gần thiết bị này cũng có thể chịu tác động của bức xạ điện từ. Do vậy, khả năng tương thích</w:t>
      </w:r>
      <w:r w:rsidR="00D7487C" w:rsidRPr="007D1EC2">
        <w:rPr>
          <w:color w:val="000000" w:themeColor="text1"/>
          <w:sz w:val="28"/>
          <w:szCs w:val="28"/>
        </w:rPr>
        <w:t xml:space="preserve"> điện từ</w:t>
      </w:r>
      <w:r w:rsidR="00AA75E7" w:rsidRPr="007D1EC2">
        <w:rPr>
          <w:color w:val="000000" w:themeColor="text1"/>
          <w:sz w:val="28"/>
          <w:szCs w:val="28"/>
        </w:rPr>
        <w:t xml:space="preserve"> cần được nghiên cứu để đạt được </w:t>
      </w:r>
      <w:r w:rsidR="0089466E">
        <w:rPr>
          <w:color w:val="000000" w:themeColor="text1"/>
          <w:sz w:val="28"/>
          <w:szCs w:val="28"/>
        </w:rPr>
        <w:t>ATBXĐT</w:t>
      </w:r>
      <w:r w:rsidR="00AA75E7" w:rsidRPr="007D1EC2">
        <w:rPr>
          <w:color w:val="000000" w:themeColor="text1"/>
          <w:sz w:val="28"/>
          <w:szCs w:val="28"/>
        </w:rPr>
        <w:t xml:space="preserve">. </w:t>
      </w:r>
      <w:r w:rsidR="00AA75E7" w:rsidRPr="007D1EC2">
        <w:rPr>
          <w:color w:val="000000"/>
          <w:sz w:val="28"/>
          <w:szCs w:val="28"/>
        </w:rPr>
        <w:t xml:space="preserve">  </w:t>
      </w:r>
    </w:p>
    <w:p w14:paraId="6278B90F" w14:textId="18E7F2B1" w:rsidR="00AA75E7" w:rsidRPr="007D1EC2" w:rsidRDefault="00AA75E7" w:rsidP="007D1EC2">
      <w:pPr>
        <w:pStyle w:val="NormalWeb"/>
        <w:spacing w:after="0"/>
        <w:jc w:val="both"/>
        <w:rPr>
          <w:color w:val="FF0000"/>
          <w:sz w:val="28"/>
          <w:szCs w:val="28"/>
        </w:rPr>
      </w:pPr>
      <w:r w:rsidRPr="007D1EC2">
        <w:rPr>
          <w:color w:val="000000"/>
          <w:sz w:val="28"/>
          <w:szCs w:val="28"/>
        </w:rPr>
        <w:t xml:space="preserve">       </w:t>
      </w:r>
      <w:r w:rsidR="009D7D41" w:rsidRPr="007D1EC2">
        <w:rPr>
          <w:sz w:val="28"/>
          <w:szCs w:val="28"/>
        </w:rPr>
        <w:t>M</w:t>
      </w:r>
      <w:r w:rsidRPr="007D1EC2">
        <w:rPr>
          <w:sz w:val="28"/>
          <w:szCs w:val="28"/>
        </w:rPr>
        <w:t xml:space="preserve">ức độ bức xạ của thiết bị ra môi trường chung quanh và ngược lại chịu ảnh hưởng của nhiễu điện từ do các thiết bị ở quanh nó tác động lên </w:t>
      </w:r>
      <w:r w:rsidR="00D41AFF" w:rsidRPr="007D1EC2">
        <w:rPr>
          <w:sz w:val="28"/>
          <w:szCs w:val="28"/>
        </w:rPr>
        <w:t>ngày càng tăng</w:t>
      </w:r>
      <w:r w:rsidRPr="007D1EC2">
        <w:rPr>
          <w:sz w:val="28"/>
          <w:szCs w:val="28"/>
        </w:rPr>
        <w:t xml:space="preserve">. </w:t>
      </w:r>
      <w:r w:rsidR="0031427E" w:rsidRPr="007D1EC2">
        <w:rPr>
          <w:sz w:val="28"/>
          <w:szCs w:val="28"/>
        </w:rPr>
        <w:t>Hiện</w:t>
      </w:r>
      <w:r w:rsidRPr="007D1EC2">
        <w:rPr>
          <w:sz w:val="28"/>
          <w:szCs w:val="28"/>
        </w:rPr>
        <w:t xml:space="preserve"> nay</w:t>
      </w:r>
      <w:r w:rsidR="00767C1F" w:rsidRPr="007D1EC2">
        <w:rPr>
          <w:sz w:val="28"/>
          <w:szCs w:val="28"/>
        </w:rPr>
        <w:t>,</w:t>
      </w:r>
      <w:r w:rsidRPr="007D1EC2">
        <w:rPr>
          <w:sz w:val="28"/>
          <w:szCs w:val="28"/>
        </w:rPr>
        <w:t xml:space="preserve"> vấn đề tác hại </w:t>
      </w:r>
      <w:r w:rsidR="00767C1F" w:rsidRPr="007D1EC2">
        <w:rPr>
          <w:sz w:val="28"/>
          <w:szCs w:val="28"/>
        </w:rPr>
        <w:t>củ</w:t>
      </w:r>
      <w:r w:rsidR="00B213B2" w:rsidRPr="007D1EC2">
        <w:rPr>
          <w:sz w:val="28"/>
          <w:szCs w:val="28"/>
        </w:rPr>
        <w:t>a bức xạ</w:t>
      </w:r>
      <w:r w:rsidR="00767C1F" w:rsidRPr="007D1EC2">
        <w:rPr>
          <w:sz w:val="28"/>
          <w:szCs w:val="28"/>
        </w:rPr>
        <w:t xml:space="preserve"> điện từ lên sức khỏe con người</w:t>
      </w:r>
      <w:r w:rsidRPr="007D1EC2">
        <w:rPr>
          <w:sz w:val="28"/>
          <w:szCs w:val="28"/>
        </w:rPr>
        <w:t xml:space="preserve"> vẫn đang được các nhà khoa họ</w:t>
      </w:r>
      <w:r w:rsidR="003B1C70" w:rsidRPr="007D1EC2">
        <w:rPr>
          <w:sz w:val="28"/>
          <w:szCs w:val="28"/>
        </w:rPr>
        <w:t>c</w:t>
      </w:r>
      <w:r w:rsidRPr="007D1EC2">
        <w:rPr>
          <w:sz w:val="28"/>
          <w:szCs w:val="28"/>
        </w:rPr>
        <w:t xml:space="preserve"> tiếp tục nghiên cứu</w:t>
      </w:r>
      <w:r w:rsidR="00F42247" w:rsidRPr="007D1EC2">
        <w:rPr>
          <w:sz w:val="28"/>
          <w:szCs w:val="28"/>
        </w:rPr>
        <w:t xml:space="preserve"> và khuyến nghị.</w:t>
      </w:r>
      <w:r w:rsidR="00F42247" w:rsidRPr="007D1EC2">
        <w:rPr>
          <w:color w:val="222222"/>
          <w:sz w:val="28"/>
          <w:szCs w:val="28"/>
        </w:rPr>
        <w:t xml:space="preserve"> </w:t>
      </w:r>
      <w:r w:rsidRPr="007D1EC2">
        <w:rPr>
          <w:color w:val="222222"/>
          <w:sz w:val="28"/>
          <w:szCs w:val="28"/>
        </w:rPr>
        <w:t xml:space="preserve">FCC khuyến nghị </w:t>
      </w:r>
      <w:r w:rsidRPr="007D1EC2">
        <w:rPr>
          <w:sz w:val="28"/>
          <w:szCs w:val="28"/>
          <w:lang w:val="vi-VN"/>
        </w:rPr>
        <w:t xml:space="preserve">nhà sản xuất điện thoại phải tuân thủ giới hạn </w:t>
      </w:r>
      <w:r w:rsidRPr="007D1EC2">
        <w:rPr>
          <w:sz w:val="28"/>
          <w:szCs w:val="28"/>
        </w:rPr>
        <w:t xml:space="preserve">tỉ lệ hấp thụ riêng </w:t>
      </w:r>
      <w:r w:rsidRPr="007D1EC2">
        <w:rPr>
          <w:sz w:val="28"/>
          <w:szCs w:val="28"/>
          <w:lang w:val="vi-VN"/>
        </w:rPr>
        <w:t xml:space="preserve">SAR </w:t>
      </w:r>
      <w:r w:rsidRPr="007D1EC2">
        <w:rPr>
          <w:sz w:val="28"/>
          <w:szCs w:val="28"/>
        </w:rPr>
        <w:t>về</w:t>
      </w:r>
      <w:r w:rsidR="009D5A19" w:rsidRPr="007D1EC2">
        <w:rPr>
          <w:sz w:val="28"/>
          <w:szCs w:val="28"/>
          <w:lang w:val="vi-VN"/>
        </w:rPr>
        <w:t xml:space="preserve"> </w:t>
      </w:r>
      <w:r w:rsidR="009D5A19" w:rsidRPr="007D1EC2">
        <w:rPr>
          <w:color w:val="000000" w:themeColor="text1"/>
          <w:sz w:val="28"/>
          <w:szCs w:val="28"/>
        </w:rPr>
        <w:t>ATBXĐT</w:t>
      </w:r>
      <w:r w:rsidR="00DB2A84" w:rsidRPr="007D1EC2">
        <w:rPr>
          <w:sz w:val="28"/>
          <w:szCs w:val="28"/>
        </w:rPr>
        <w:t>;</w:t>
      </w:r>
      <w:r w:rsidR="003E310C" w:rsidRPr="007D1EC2">
        <w:rPr>
          <w:sz w:val="28"/>
          <w:szCs w:val="28"/>
        </w:rPr>
        <w:t xml:space="preserve"> ở nước ta cũng đã có các quy chuẩn được ban hành</w:t>
      </w:r>
      <w:r w:rsidR="00A32AB2" w:rsidRPr="007D1EC2">
        <w:rPr>
          <w:sz w:val="28"/>
          <w:szCs w:val="28"/>
        </w:rPr>
        <w:t xml:space="preserve"> về </w:t>
      </w:r>
      <w:r w:rsidR="001B2AFA" w:rsidRPr="007D1EC2">
        <w:rPr>
          <w:sz w:val="28"/>
          <w:szCs w:val="28"/>
        </w:rPr>
        <w:t>p</w:t>
      </w:r>
      <w:r w:rsidR="00DB2A84" w:rsidRPr="007D1EC2">
        <w:rPr>
          <w:sz w:val="28"/>
          <w:szCs w:val="28"/>
        </w:rPr>
        <w:t>hổ tần số và bức xạ vô tuyến điện áp dụng cho các thiết bị thu phát vô tuyến điệ</w:t>
      </w:r>
      <w:r w:rsidR="0089466E">
        <w:rPr>
          <w:sz w:val="28"/>
          <w:szCs w:val="28"/>
        </w:rPr>
        <w:t>n</w:t>
      </w:r>
      <w:r w:rsidR="00DB2A84" w:rsidRPr="007D1EC2">
        <w:rPr>
          <w:sz w:val="28"/>
          <w:szCs w:val="28"/>
        </w:rPr>
        <w:t xml:space="preserve">, </w:t>
      </w:r>
      <w:r w:rsidR="00DB2A84" w:rsidRPr="007D1EC2">
        <w:rPr>
          <w:bCs/>
          <w:sz w:val="28"/>
          <w:szCs w:val="28"/>
        </w:rPr>
        <w:t>phơi nhiễ</w:t>
      </w:r>
      <w:r w:rsidR="001B2AFA" w:rsidRPr="007D1EC2">
        <w:rPr>
          <w:bCs/>
          <w:sz w:val="28"/>
          <w:szCs w:val="28"/>
        </w:rPr>
        <w:t>m t</w:t>
      </w:r>
      <w:r w:rsidR="00DB2A84" w:rsidRPr="007D1EC2">
        <w:rPr>
          <w:bCs/>
          <w:sz w:val="28"/>
          <w:szCs w:val="28"/>
        </w:rPr>
        <w:t>rường điện từ của các trạm gốc điện thoại di động mặt đất công cộng</w:t>
      </w:r>
      <w:r w:rsidR="00F10C9B" w:rsidRPr="007D1EC2">
        <w:rPr>
          <w:sz w:val="28"/>
          <w:szCs w:val="28"/>
        </w:rPr>
        <w:t>…</w:t>
      </w:r>
      <w:r w:rsidR="00DE13C3" w:rsidRPr="007D1EC2">
        <w:rPr>
          <w:sz w:val="28"/>
          <w:szCs w:val="28"/>
        </w:rPr>
        <w:t xml:space="preserve">            </w:t>
      </w:r>
      <w:r w:rsidR="00B937A8" w:rsidRPr="007D1EC2">
        <w:rPr>
          <w:sz w:val="28"/>
          <w:szCs w:val="28"/>
        </w:rPr>
        <w:t xml:space="preserve">      </w:t>
      </w:r>
      <w:r w:rsidR="00B937A8" w:rsidRPr="007D1EC2">
        <w:rPr>
          <w:i/>
          <w:sz w:val="28"/>
          <w:szCs w:val="28"/>
        </w:rPr>
        <w:t xml:space="preserve">   </w:t>
      </w:r>
      <w:r w:rsidRPr="007D1EC2">
        <w:rPr>
          <w:sz w:val="28"/>
          <w:szCs w:val="28"/>
        </w:rPr>
        <w:t xml:space="preserve">   </w:t>
      </w:r>
    </w:p>
    <w:p w14:paraId="4C6058B4" w14:textId="38C97363" w:rsidR="00186018" w:rsidRPr="007D1EC2" w:rsidRDefault="00186018" w:rsidP="00B97B98">
      <w:pPr>
        <w:pStyle w:val="NormalWeb"/>
        <w:spacing w:after="0"/>
        <w:jc w:val="both"/>
        <w:rPr>
          <w:sz w:val="28"/>
          <w:szCs w:val="28"/>
        </w:rPr>
      </w:pPr>
      <w:r w:rsidRPr="007D1EC2">
        <w:rPr>
          <w:sz w:val="28"/>
          <w:szCs w:val="28"/>
        </w:rPr>
        <w:t xml:space="preserve">Vài ví dụ về </w:t>
      </w:r>
      <w:r w:rsidR="000C1B07" w:rsidRPr="007D1EC2">
        <w:rPr>
          <w:sz w:val="28"/>
          <w:szCs w:val="28"/>
        </w:rPr>
        <w:t>ATBXĐT</w:t>
      </w:r>
      <w:r w:rsidRPr="007D1EC2">
        <w:rPr>
          <w:sz w:val="28"/>
          <w:szCs w:val="28"/>
        </w:rPr>
        <w:t xml:space="preserve"> trong lĩnh vực thông tin di động:</w:t>
      </w:r>
    </w:p>
    <w:p w14:paraId="2737CC95" w14:textId="77777777" w:rsidR="00E93F71" w:rsidRPr="007D1EC2" w:rsidRDefault="00B35FBB" w:rsidP="00186018">
      <w:pPr>
        <w:pStyle w:val="NormalWeb"/>
        <w:numPr>
          <w:ilvl w:val="0"/>
          <w:numId w:val="4"/>
        </w:numPr>
        <w:spacing w:after="0"/>
        <w:jc w:val="both"/>
        <w:rPr>
          <w:sz w:val="28"/>
          <w:szCs w:val="28"/>
        </w:rPr>
      </w:pPr>
      <w:r w:rsidRPr="007D1EC2">
        <w:rPr>
          <w:sz w:val="28"/>
          <w:szCs w:val="28"/>
        </w:rPr>
        <w:t>Trạm</w:t>
      </w:r>
      <w:r w:rsidR="00186018" w:rsidRPr="007D1EC2">
        <w:rPr>
          <w:sz w:val="28"/>
          <w:szCs w:val="28"/>
        </w:rPr>
        <w:t xml:space="preserve"> thu phát sóng thông tin di động (BTS): </w:t>
      </w:r>
    </w:p>
    <w:p w14:paraId="22B025C8" w14:textId="22EA4918" w:rsidR="00EF7858" w:rsidRPr="007D1EC2" w:rsidRDefault="00C7323F" w:rsidP="00E93F71">
      <w:pPr>
        <w:pStyle w:val="NormalWeb"/>
        <w:spacing w:after="0"/>
        <w:ind w:left="720"/>
        <w:jc w:val="both"/>
        <w:rPr>
          <w:sz w:val="28"/>
          <w:szCs w:val="28"/>
        </w:rPr>
      </w:pPr>
      <w:r w:rsidRPr="007D1EC2">
        <w:rPr>
          <w:sz w:val="28"/>
          <w:szCs w:val="28"/>
        </w:rPr>
        <w:t>Theo</w:t>
      </w:r>
      <w:r w:rsidR="00186018" w:rsidRPr="007D1EC2">
        <w:rPr>
          <w:sz w:val="28"/>
          <w:szCs w:val="28"/>
        </w:rPr>
        <w:t xml:space="preserve"> TCVN 3718-1: 2005, </w:t>
      </w:r>
      <w:r w:rsidR="005524BC" w:rsidRPr="007D1EC2">
        <w:rPr>
          <w:sz w:val="28"/>
          <w:szCs w:val="28"/>
        </w:rPr>
        <w:t xml:space="preserve">phải đảm bảo các yêu cầu về tiếp đất chống sét </w:t>
      </w:r>
      <w:r w:rsidR="00CE1D9B" w:rsidRPr="007D1EC2">
        <w:rPr>
          <w:sz w:val="28"/>
          <w:szCs w:val="28"/>
        </w:rPr>
        <w:t xml:space="preserve">và hạn chế mức công suất bức xạ </w:t>
      </w:r>
      <w:r w:rsidR="00174637" w:rsidRPr="007D1EC2">
        <w:rPr>
          <w:sz w:val="28"/>
          <w:szCs w:val="28"/>
        </w:rPr>
        <w:t xml:space="preserve">hiệu dụng </w:t>
      </w:r>
      <w:r w:rsidR="005769F4" w:rsidRPr="007D1EC2">
        <w:rPr>
          <w:sz w:val="28"/>
          <w:szCs w:val="28"/>
        </w:rPr>
        <w:t xml:space="preserve">của trạm phát </w:t>
      </w:r>
      <w:r w:rsidR="00174637" w:rsidRPr="007D1EC2">
        <w:rPr>
          <w:sz w:val="28"/>
          <w:szCs w:val="28"/>
        </w:rPr>
        <w:t xml:space="preserve">để </w:t>
      </w:r>
      <w:r w:rsidR="005524BC" w:rsidRPr="007D1EC2">
        <w:rPr>
          <w:sz w:val="28"/>
          <w:szCs w:val="28"/>
        </w:rPr>
        <w:t>không gây ra mức phơi nhiễm vượt giới hạn cho phép 2W/m</w:t>
      </w:r>
      <w:r w:rsidR="005524BC" w:rsidRPr="007D1EC2">
        <w:rPr>
          <w:sz w:val="28"/>
          <w:szCs w:val="28"/>
        </w:rPr>
        <w:softHyphen/>
      </w:r>
      <w:r w:rsidR="005524BC" w:rsidRPr="007D1EC2">
        <w:rPr>
          <w:sz w:val="28"/>
          <w:szCs w:val="28"/>
        </w:rPr>
        <w:softHyphen/>
      </w:r>
      <w:r w:rsidR="005524BC" w:rsidRPr="007D1EC2">
        <w:rPr>
          <w:sz w:val="28"/>
          <w:szCs w:val="28"/>
        </w:rPr>
        <w:softHyphen/>
      </w:r>
      <w:r w:rsidR="005524BC" w:rsidRPr="007D1EC2">
        <w:rPr>
          <w:sz w:val="28"/>
          <w:szCs w:val="28"/>
        </w:rPr>
        <w:softHyphen/>
      </w:r>
      <w:r w:rsidR="00392602" w:rsidRPr="007D1EC2">
        <w:rPr>
          <w:sz w:val="28"/>
          <w:szCs w:val="28"/>
          <w:vertAlign w:val="superscript"/>
        </w:rPr>
        <w:t>2</w:t>
      </w:r>
      <w:r w:rsidR="000737BC" w:rsidRPr="007D1EC2">
        <w:rPr>
          <w:sz w:val="28"/>
          <w:szCs w:val="28"/>
          <w:vertAlign w:val="superscript"/>
        </w:rPr>
        <w:softHyphen/>
      </w:r>
      <w:r w:rsidR="000737BC" w:rsidRPr="007D1EC2">
        <w:rPr>
          <w:sz w:val="28"/>
          <w:szCs w:val="28"/>
        </w:rPr>
        <w:t xml:space="preserve"> hoặc điện trường</w:t>
      </w:r>
      <w:r w:rsidR="00174637" w:rsidRPr="007D1EC2">
        <w:rPr>
          <w:sz w:val="28"/>
          <w:szCs w:val="28"/>
        </w:rPr>
        <w:t xml:space="preserve"> vượt</w:t>
      </w:r>
      <w:r w:rsidR="000737BC" w:rsidRPr="007D1EC2">
        <w:rPr>
          <w:sz w:val="28"/>
          <w:szCs w:val="28"/>
        </w:rPr>
        <w:t xml:space="preserve"> E=27,5V/m trong khu vực dân cư</w:t>
      </w:r>
      <w:r w:rsidR="00B14481" w:rsidRPr="007D1EC2">
        <w:rPr>
          <w:sz w:val="28"/>
          <w:szCs w:val="28"/>
        </w:rPr>
        <w:t xml:space="preserve"> lân cận</w:t>
      </w:r>
      <w:r w:rsidR="000737BC" w:rsidRPr="007D1EC2">
        <w:rPr>
          <w:sz w:val="28"/>
          <w:szCs w:val="28"/>
        </w:rPr>
        <w:t>.</w:t>
      </w:r>
      <w:r w:rsidR="00186018" w:rsidRPr="007D1EC2">
        <w:rPr>
          <w:sz w:val="28"/>
          <w:szCs w:val="28"/>
        </w:rPr>
        <w:t xml:space="preserve">  </w:t>
      </w:r>
    </w:p>
    <w:p w14:paraId="5AA61F3B" w14:textId="3D6E4345" w:rsidR="001656E6" w:rsidRPr="007D1EC2" w:rsidRDefault="00FC71CC" w:rsidP="00186018">
      <w:pPr>
        <w:pStyle w:val="NormalWeb"/>
        <w:numPr>
          <w:ilvl w:val="0"/>
          <w:numId w:val="4"/>
        </w:numPr>
        <w:spacing w:after="0"/>
        <w:jc w:val="both"/>
        <w:rPr>
          <w:sz w:val="28"/>
          <w:szCs w:val="28"/>
        </w:rPr>
      </w:pPr>
      <w:r w:rsidRPr="007D1EC2">
        <w:rPr>
          <w:sz w:val="28"/>
          <w:szCs w:val="28"/>
        </w:rPr>
        <w:t>Cách hạn chế</w:t>
      </w:r>
      <w:r w:rsidR="001656E6" w:rsidRPr="007D1EC2">
        <w:rPr>
          <w:sz w:val="28"/>
          <w:szCs w:val="28"/>
        </w:rPr>
        <w:t xml:space="preserve"> </w:t>
      </w:r>
      <w:r w:rsidR="00174637" w:rsidRPr="007D1EC2">
        <w:rPr>
          <w:sz w:val="28"/>
          <w:szCs w:val="28"/>
        </w:rPr>
        <w:t xml:space="preserve">ảnh hưởng của </w:t>
      </w:r>
      <w:r w:rsidR="001656E6" w:rsidRPr="007D1EC2">
        <w:rPr>
          <w:sz w:val="28"/>
          <w:szCs w:val="28"/>
        </w:rPr>
        <w:t>bức xạ điện từ</w:t>
      </w:r>
      <w:r w:rsidR="00955682" w:rsidRPr="007D1EC2">
        <w:rPr>
          <w:sz w:val="28"/>
          <w:szCs w:val="28"/>
        </w:rPr>
        <w:t xml:space="preserve"> </w:t>
      </w:r>
      <w:r w:rsidR="00174637" w:rsidRPr="007D1EC2">
        <w:rPr>
          <w:sz w:val="28"/>
          <w:szCs w:val="28"/>
        </w:rPr>
        <w:t>khi sử dụng</w:t>
      </w:r>
      <w:r w:rsidR="001656E6" w:rsidRPr="007D1EC2">
        <w:rPr>
          <w:sz w:val="28"/>
          <w:szCs w:val="28"/>
        </w:rPr>
        <w:t xml:space="preserve"> </w:t>
      </w:r>
      <w:r w:rsidR="00174637" w:rsidRPr="007D1EC2">
        <w:rPr>
          <w:sz w:val="28"/>
          <w:szCs w:val="28"/>
        </w:rPr>
        <w:t xml:space="preserve">máy </w:t>
      </w:r>
      <w:r w:rsidR="001656E6" w:rsidRPr="007D1EC2">
        <w:rPr>
          <w:sz w:val="28"/>
          <w:szCs w:val="28"/>
        </w:rPr>
        <w:t xml:space="preserve">điện thoại di động: </w:t>
      </w:r>
    </w:p>
    <w:p w14:paraId="3208EF67" w14:textId="39820CB2" w:rsidR="00794D90" w:rsidRPr="007D1EC2" w:rsidRDefault="001656E6" w:rsidP="005769F4">
      <w:pPr>
        <w:pStyle w:val="NormalWeb"/>
        <w:spacing w:after="0"/>
        <w:ind w:left="720"/>
        <w:jc w:val="both"/>
        <w:rPr>
          <w:sz w:val="28"/>
          <w:szCs w:val="28"/>
        </w:rPr>
      </w:pPr>
      <w:r w:rsidRPr="007D1EC2">
        <w:rPr>
          <w:sz w:val="28"/>
          <w:szCs w:val="28"/>
        </w:rPr>
        <w:t>Nên sử dụng loa hoặc tai nghe</w:t>
      </w:r>
      <w:r w:rsidR="005769F4" w:rsidRPr="007D1EC2">
        <w:rPr>
          <w:sz w:val="28"/>
          <w:szCs w:val="28"/>
        </w:rPr>
        <w:t xml:space="preserve"> để tránh áp sát máy điện thoại vào </w:t>
      </w:r>
      <w:r w:rsidR="00036447" w:rsidRPr="007D1EC2">
        <w:rPr>
          <w:sz w:val="28"/>
          <w:szCs w:val="28"/>
        </w:rPr>
        <w:t>cơ thể</w:t>
      </w:r>
      <w:r w:rsidR="005769F4" w:rsidRPr="007D1EC2">
        <w:rPr>
          <w:sz w:val="28"/>
          <w:szCs w:val="28"/>
        </w:rPr>
        <w:t>,</w:t>
      </w:r>
      <w:r w:rsidRPr="007D1EC2">
        <w:rPr>
          <w:sz w:val="28"/>
          <w:szCs w:val="28"/>
        </w:rPr>
        <w:t xml:space="preserve"> </w:t>
      </w:r>
      <w:r w:rsidR="005769F4" w:rsidRPr="007D1EC2">
        <w:rPr>
          <w:sz w:val="28"/>
          <w:szCs w:val="28"/>
        </w:rPr>
        <w:t>tránh</w:t>
      </w:r>
      <w:r w:rsidRPr="007D1EC2">
        <w:rPr>
          <w:sz w:val="28"/>
          <w:szCs w:val="28"/>
        </w:rPr>
        <w:t xml:space="preserve"> để điện thoại dưới gối</w:t>
      </w:r>
      <w:r w:rsidR="005769F4" w:rsidRPr="007D1EC2">
        <w:rPr>
          <w:sz w:val="28"/>
          <w:szCs w:val="28"/>
        </w:rPr>
        <w:t xml:space="preserve"> khi ngủ</w:t>
      </w:r>
      <w:r w:rsidRPr="007D1EC2">
        <w:rPr>
          <w:sz w:val="28"/>
          <w:szCs w:val="28"/>
        </w:rPr>
        <w:t xml:space="preserve"> </w:t>
      </w:r>
      <w:r w:rsidR="005769F4" w:rsidRPr="007D1EC2">
        <w:rPr>
          <w:sz w:val="28"/>
          <w:szCs w:val="28"/>
        </w:rPr>
        <w:t>hoặc</w:t>
      </w:r>
      <w:r w:rsidRPr="007D1EC2">
        <w:rPr>
          <w:sz w:val="28"/>
          <w:szCs w:val="28"/>
        </w:rPr>
        <w:t xml:space="preserve"> chỉ nên gọi điện thoại khi có sóng mạnh.</w:t>
      </w:r>
    </w:p>
    <w:p w14:paraId="1BD51B83" w14:textId="4096B4AE" w:rsidR="00186018" w:rsidRPr="007D1EC2" w:rsidRDefault="00E50535" w:rsidP="008C5891">
      <w:pPr>
        <w:rPr>
          <w:rFonts w:ascii="Times New Roman" w:hAnsi="Times New Roman" w:cs="Times New Roman"/>
          <w:bCs/>
          <w:color w:val="101010"/>
          <w:sz w:val="28"/>
          <w:szCs w:val="28"/>
          <w:shd w:val="clear" w:color="auto" w:fill="FFFFFF"/>
        </w:rPr>
      </w:pPr>
      <w:r w:rsidRPr="007D1EC2">
        <w:rPr>
          <w:rFonts w:ascii="Times New Roman" w:hAnsi="Times New Roman" w:cs="Times New Roman"/>
          <w:bCs/>
          <w:color w:val="101010"/>
          <w:sz w:val="28"/>
          <w:szCs w:val="28"/>
          <w:shd w:val="clear" w:color="auto" w:fill="FFFFFF"/>
        </w:rPr>
        <w:t>Giới thiệu</w:t>
      </w:r>
      <w:r w:rsidR="00512F5B" w:rsidRPr="007D1EC2">
        <w:rPr>
          <w:rFonts w:ascii="Times New Roman" w:hAnsi="Times New Roman" w:cs="Times New Roman"/>
          <w:bCs/>
          <w:color w:val="101010"/>
          <w:sz w:val="28"/>
          <w:szCs w:val="28"/>
          <w:shd w:val="clear" w:color="auto" w:fill="FFFFFF"/>
        </w:rPr>
        <w:t xml:space="preserve"> tiêu chuẩn về</w:t>
      </w:r>
      <w:r w:rsidR="00DE5DB0" w:rsidRPr="007D1EC2">
        <w:rPr>
          <w:rFonts w:ascii="Times New Roman" w:hAnsi="Times New Roman" w:cs="Times New Roman"/>
          <w:bCs/>
          <w:color w:val="101010"/>
          <w:sz w:val="28"/>
          <w:szCs w:val="28"/>
          <w:shd w:val="clear" w:color="auto" w:fill="FFFFFF"/>
        </w:rPr>
        <w:t xml:space="preserve"> ATBXĐT</w:t>
      </w:r>
      <w:r w:rsidR="00512F5B" w:rsidRPr="007D1EC2">
        <w:rPr>
          <w:rFonts w:ascii="Times New Roman" w:hAnsi="Times New Roman" w:cs="Times New Roman"/>
          <w:bCs/>
          <w:color w:val="101010"/>
          <w:sz w:val="28"/>
          <w:szCs w:val="28"/>
          <w:shd w:val="clear" w:color="auto" w:fill="FFFFFF"/>
        </w:rPr>
        <w:t>:</w:t>
      </w:r>
    </w:p>
    <w:p w14:paraId="0F956BE6" w14:textId="44E76856" w:rsidR="0089466E" w:rsidRPr="00605B09" w:rsidRDefault="00BA7228" w:rsidP="0064459B">
      <w:pPr>
        <w:pStyle w:val="NormalWeb"/>
        <w:spacing w:after="0"/>
        <w:jc w:val="both"/>
        <w:rPr>
          <w:sz w:val="28"/>
          <w:szCs w:val="28"/>
          <w:shd w:val="clear" w:color="auto" w:fill="FFFFFF"/>
        </w:rPr>
      </w:pPr>
      <w:r w:rsidRPr="007D1EC2">
        <w:rPr>
          <w:sz w:val="28"/>
          <w:szCs w:val="28"/>
        </w:rPr>
        <w:t xml:space="preserve">Tiêu chuẩn </w:t>
      </w:r>
      <w:r w:rsidRPr="007D1EC2">
        <w:rPr>
          <w:sz w:val="28"/>
          <w:szCs w:val="28"/>
          <w:shd w:val="clear" w:color="auto" w:fill="FFFFFF"/>
        </w:rPr>
        <w:t>TCVN 3718-1: 2005 về Quản lý an toàn trong bức xạ tần số Radio.</w:t>
      </w:r>
    </w:p>
    <w:p w14:paraId="168253CA" w14:textId="15A561E1" w:rsidR="00683A4F" w:rsidRPr="007D1EC2" w:rsidRDefault="003F58F4" w:rsidP="00683A4F">
      <w:pPr>
        <w:shd w:val="clear" w:color="auto" w:fill="FFFFFF"/>
        <w:spacing w:before="120" w:after="300"/>
        <w:jc w:val="both"/>
        <w:rPr>
          <w:rFonts w:ascii="Times New Roman" w:eastAsia="Times New Roman" w:hAnsi="Times New Roman" w:cs="Times New Roman"/>
          <w:color w:val="646464"/>
          <w:sz w:val="28"/>
          <w:szCs w:val="28"/>
        </w:rPr>
      </w:pPr>
      <w:r w:rsidRPr="007D1EC2">
        <w:rPr>
          <w:rFonts w:ascii="Times New Roman" w:hAnsi="Times New Roman" w:cs="Times New Roman"/>
          <w:b/>
          <w:bCs/>
          <w:i/>
          <w:iCs/>
          <w:color w:val="000000"/>
          <w:sz w:val="28"/>
          <w:szCs w:val="28"/>
        </w:rPr>
        <w:t xml:space="preserve">Bảng </w:t>
      </w:r>
      <w:r w:rsidR="008026DF" w:rsidRPr="007D1EC2">
        <w:rPr>
          <w:rFonts w:ascii="Times New Roman" w:hAnsi="Times New Roman" w:cs="Times New Roman"/>
          <w:b/>
          <w:bCs/>
          <w:i/>
          <w:iCs/>
          <w:color w:val="000000"/>
          <w:sz w:val="28"/>
          <w:szCs w:val="28"/>
        </w:rPr>
        <w:t>c</w:t>
      </w:r>
      <w:r w:rsidRPr="007D1EC2">
        <w:rPr>
          <w:rFonts w:ascii="Times New Roman" w:hAnsi="Times New Roman" w:cs="Times New Roman"/>
          <w:b/>
          <w:bCs/>
          <w:i/>
          <w:iCs/>
          <w:color w:val="000000"/>
          <w:sz w:val="28"/>
          <w:szCs w:val="28"/>
        </w:rPr>
        <w:t>ác</w:t>
      </w:r>
      <w:r w:rsidR="00467E22" w:rsidRPr="007D1EC2">
        <w:rPr>
          <w:rFonts w:ascii="Times New Roman" w:hAnsi="Times New Roman" w:cs="Times New Roman"/>
          <w:b/>
          <w:bCs/>
          <w:i/>
          <w:iCs/>
          <w:color w:val="000000"/>
          <w:sz w:val="28"/>
          <w:szCs w:val="28"/>
        </w:rPr>
        <w:t xml:space="preserve"> giới hạn</w:t>
      </w:r>
      <w:r w:rsidRPr="007D1EC2">
        <w:rPr>
          <w:rFonts w:ascii="Times New Roman" w:hAnsi="Times New Roman" w:cs="Times New Roman"/>
          <w:b/>
          <w:bCs/>
          <w:i/>
          <w:iCs/>
          <w:color w:val="000000"/>
          <w:sz w:val="28"/>
          <w:szCs w:val="28"/>
        </w:rPr>
        <w:t xml:space="preserve"> mức phơi nhiễm</w:t>
      </w:r>
      <w:r w:rsidR="00467E22" w:rsidRPr="007D1EC2">
        <w:rPr>
          <w:rFonts w:ascii="Times New Roman" w:hAnsi="Times New Roman" w:cs="Times New Roman"/>
          <w:b/>
          <w:bCs/>
          <w:i/>
          <w:iCs/>
          <w:color w:val="000000"/>
          <w:sz w:val="28"/>
          <w:szCs w:val="28"/>
        </w:rPr>
        <w:t>,</w:t>
      </w:r>
      <w:r w:rsidRPr="007D1EC2">
        <w:rPr>
          <w:rFonts w:ascii="Times New Roman" w:hAnsi="Times New Roman" w:cs="Times New Roman"/>
          <w:b/>
          <w:bCs/>
          <w:i/>
          <w:iCs/>
          <w:color w:val="000000"/>
          <w:sz w:val="28"/>
          <w:szCs w:val="28"/>
        </w:rPr>
        <w:t xml:space="preserve"> dẫn xuấ</w:t>
      </w:r>
      <w:r w:rsidR="00DE5DB0" w:rsidRPr="007D1EC2">
        <w:rPr>
          <w:rFonts w:ascii="Times New Roman" w:hAnsi="Times New Roman" w:cs="Times New Roman"/>
          <w:b/>
          <w:bCs/>
          <w:i/>
          <w:iCs/>
          <w:color w:val="000000"/>
          <w:sz w:val="28"/>
          <w:szCs w:val="28"/>
        </w:rPr>
        <w:t>t theo</w:t>
      </w:r>
      <w:r w:rsidRPr="007D1EC2">
        <w:rPr>
          <w:rFonts w:ascii="Times New Roman" w:hAnsi="Times New Roman" w:cs="Times New Roman"/>
          <w:b/>
          <w:bCs/>
          <w:i/>
          <w:iCs/>
          <w:color w:val="000000"/>
          <w:sz w:val="28"/>
          <w:szCs w:val="28"/>
        </w:rPr>
        <w:t xml:space="preserve"> điện </w:t>
      </w:r>
      <w:r w:rsidR="00DE5DB0" w:rsidRPr="007D1EC2">
        <w:rPr>
          <w:rFonts w:ascii="Times New Roman" w:hAnsi="Times New Roman" w:cs="Times New Roman"/>
          <w:b/>
          <w:bCs/>
          <w:i/>
          <w:iCs/>
          <w:color w:val="000000"/>
          <w:sz w:val="28"/>
          <w:szCs w:val="28"/>
        </w:rPr>
        <w:t xml:space="preserve">trường </w:t>
      </w:r>
      <w:r w:rsidRPr="007D1EC2">
        <w:rPr>
          <w:rFonts w:ascii="Times New Roman" w:hAnsi="Times New Roman" w:cs="Times New Roman"/>
          <w:b/>
          <w:bCs/>
          <w:i/>
          <w:iCs/>
          <w:color w:val="000000"/>
          <w:sz w:val="28"/>
          <w:szCs w:val="28"/>
        </w:rPr>
        <w:t>và</w:t>
      </w:r>
      <w:r w:rsidR="00DE5DB0" w:rsidRPr="007D1EC2">
        <w:rPr>
          <w:rFonts w:ascii="Times New Roman" w:hAnsi="Times New Roman" w:cs="Times New Roman"/>
          <w:b/>
          <w:bCs/>
          <w:i/>
          <w:iCs/>
          <w:color w:val="000000"/>
          <w:sz w:val="28"/>
          <w:szCs w:val="28"/>
        </w:rPr>
        <w:t xml:space="preserve"> từ</w:t>
      </w:r>
      <w:r w:rsidRPr="007D1EC2">
        <w:rPr>
          <w:rFonts w:ascii="Times New Roman" w:hAnsi="Times New Roman" w:cs="Times New Roman"/>
          <w:b/>
          <w:bCs/>
          <w:i/>
          <w:iCs/>
          <w:color w:val="000000"/>
          <w:sz w:val="28"/>
          <w:szCs w:val="28"/>
        </w:rPr>
        <w:t xml:space="preserve"> trường</w:t>
      </w:r>
      <w:r w:rsidR="00DE5DB0" w:rsidRPr="007D1EC2">
        <w:rPr>
          <w:rFonts w:ascii="Times New Roman" w:hAnsi="Times New Roman" w:cs="Times New Roman"/>
          <w:b/>
          <w:bCs/>
          <w:i/>
          <w:iCs/>
          <w:color w:val="000000"/>
          <w:sz w:val="28"/>
          <w:szCs w:val="28"/>
        </w:rPr>
        <w:t xml:space="preserve"> </w:t>
      </w:r>
      <w:r w:rsidR="00467E22" w:rsidRPr="007D1EC2">
        <w:rPr>
          <w:rFonts w:ascii="Times New Roman" w:hAnsi="Times New Roman" w:cs="Times New Roman"/>
          <w:b/>
          <w:bCs/>
          <w:i/>
          <w:iCs/>
          <w:color w:val="000000"/>
          <w:sz w:val="28"/>
          <w:szCs w:val="28"/>
        </w:rPr>
        <w:t>phụ thuộc tần số</w:t>
      </w:r>
    </w:p>
    <w:tbl>
      <w:tblPr>
        <w:tblW w:w="0" w:type="auto"/>
        <w:tblInd w:w="115" w:type="dxa"/>
        <w:shd w:val="clear" w:color="auto" w:fill="FFFFFF"/>
        <w:tblCellMar>
          <w:left w:w="0" w:type="dxa"/>
          <w:right w:w="0" w:type="dxa"/>
        </w:tblCellMar>
        <w:tblLook w:val="04A0" w:firstRow="1" w:lastRow="0" w:firstColumn="1" w:lastColumn="0" w:noHBand="0" w:noVBand="1"/>
      </w:tblPr>
      <w:tblGrid>
        <w:gridCol w:w="2160"/>
        <w:gridCol w:w="2430"/>
        <w:gridCol w:w="2430"/>
        <w:gridCol w:w="2160"/>
      </w:tblGrid>
      <w:tr w:rsidR="00683A4F" w:rsidRPr="007D1EC2" w14:paraId="2EA684E4" w14:textId="77777777" w:rsidTr="00A56610">
        <w:trPr>
          <w:trHeight w:val="493"/>
        </w:trPr>
        <w:tc>
          <w:tcPr>
            <w:tcW w:w="91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0D536DD" w14:textId="77777777" w:rsidR="00683A4F" w:rsidRPr="007D1EC2" w:rsidRDefault="00683A4F" w:rsidP="00C93675">
            <w:pPr>
              <w:spacing w:before="120" w:after="300" w:line="20" w:lineRule="atLeast"/>
              <w:jc w:val="center"/>
              <w:rPr>
                <w:rFonts w:ascii="Times New Roman" w:eastAsia="Times New Roman" w:hAnsi="Times New Roman" w:cs="Times New Roman"/>
                <w:color w:val="646464"/>
                <w:sz w:val="28"/>
                <w:szCs w:val="28"/>
              </w:rPr>
            </w:pPr>
            <w:r w:rsidRPr="007D1EC2">
              <w:rPr>
                <w:rFonts w:ascii="Times New Roman" w:eastAsia="Times New Roman" w:hAnsi="Times New Roman" w:cs="Times New Roman"/>
                <w:color w:val="000000" w:themeColor="text1"/>
                <w:sz w:val="28"/>
                <w:szCs w:val="28"/>
              </w:rPr>
              <w:lastRenderedPageBreak/>
              <w:t>Trường RF*</w:t>
            </w:r>
          </w:p>
        </w:tc>
      </w:tr>
      <w:tr w:rsidR="00A12189" w:rsidRPr="007D1EC2" w14:paraId="017F8626" w14:textId="77777777" w:rsidTr="00A56610">
        <w:trPr>
          <w:trHeight w:val="20"/>
        </w:trPr>
        <w:tc>
          <w:tcPr>
            <w:tcW w:w="216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544F90B" w14:textId="44BD33A4" w:rsidR="00A12189" w:rsidRPr="007D1EC2" w:rsidRDefault="00A12189" w:rsidP="00C93675">
            <w:pPr>
              <w:spacing w:before="120" w:after="300" w:line="20" w:lineRule="atLeast"/>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Dải tần</w:t>
            </w:r>
            <w:r w:rsidR="00BD38C9" w:rsidRPr="007D1EC2">
              <w:rPr>
                <w:rFonts w:ascii="Times New Roman" w:eastAsia="Times New Roman" w:hAnsi="Times New Roman" w:cs="Times New Roman"/>
                <w:color w:val="000000" w:themeColor="text1"/>
                <w:sz w:val="28"/>
                <w:szCs w:val="28"/>
              </w:rPr>
              <w:t xml:space="preserve"> </w:t>
            </w:r>
            <w:r w:rsidRPr="007D1EC2">
              <w:rPr>
                <w:rFonts w:ascii="Times New Roman" w:eastAsia="Times New Roman" w:hAnsi="Times New Roman" w:cs="Times New Roman"/>
                <w:color w:val="000000" w:themeColor="text1"/>
                <w:sz w:val="28"/>
                <w:szCs w:val="28"/>
              </w:rPr>
              <w:t xml:space="preserve"> (MHz)</w:t>
            </w:r>
          </w:p>
        </w:tc>
        <w:tc>
          <w:tcPr>
            <w:tcW w:w="243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0212E927" w14:textId="39CDD1BF" w:rsidR="00A12189" w:rsidRPr="007D1EC2" w:rsidRDefault="00A12189" w:rsidP="00C93675">
            <w:pPr>
              <w:spacing w:before="120" w:after="300" w:line="20" w:lineRule="atLeast"/>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 xml:space="preserve">Cường độ </w:t>
            </w:r>
            <w:r w:rsidR="00DE5DB0" w:rsidRPr="007D1EC2">
              <w:rPr>
                <w:rFonts w:ascii="Times New Roman" w:eastAsia="Times New Roman" w:hAnsi="Times New Roman" w:cs="Times New Roman"/>
                <w:color w:val="000000" w:themeColor="text1"/>
                <w:sz w:val="28"/>
                <w:szCs w:val="28"/>
              </w:rPr>
              <w:t xml:space="preserve">điện </w:t>
            </w:r>
            <w:r w:rsidRPr="007D1EC2">
              <w:rPr>
                <w:rFonts w:ascii="Times New Roman" w:eastAsia="Times New Roman" w:hAnsi="Times New Roman" w:cs="Times New Roman"/>
                <w:color w:val="000000" w:themeColor="text1"/>
                <w:sz w:val="28"/>
                <w:szCs w:val="28"/>
              </w:rPr>
              <w:t>trường E (V/m)</w:t>
            </w:r>
          </w:p>
        </w:tc>
        <w:tc>
          <w:tcPr>
            <w:tcW w:w="243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2A871B97" w14:textId="670A7762" w:rsidR="00A12189" w:rsidRPr="007D1EC2" w:rsidRDefault="00A12189" w:rsidP="00C93675">
            <w:pPr>
              <w:spacing w:before="120" w:after="300" w:line="20" w:lineRule="atLeast"/>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 xml:space="preserve">Cường độ </w:t>
            </w:r>
            <w:r w:rsidR="00DE5DB0" w:rsidRPr="007D1EC2">
              <w:rPr>
                <w:rFonts w:ascii="Times New Roman" w:eastAsia="Times New Roman" w:hAnsi="Times New Roman" w:cs="Times New Roman"/>
                <w:color w:val="000000" w:themeColor="text1"/>
                <w:sz w:val="28"/>
                <w:szCs w:val="28"/>
              </w:rPr>
              <w:t xml:space="preserve">từ trường </w:t>
            </w:r>
            <w:r w:rsidRPr="007D1EC2">
              <w:rPr>
                <w:rFonts w:ascii="Times New Roman" w:eastAsia="Times New Roman" w:hAnsi="Times New Roman" w:cs="Times New Roman"/>
                <w:color w:val="000000" w:themeColor="text1"/>
                <w:sz w:val="28"/>
                <w:szCs w:val="28"/>
              </w:rPr>
              <w:t xml:space="preserve"> H (A/m)</w:t>
            </w:r>
          </w:p>
        </w:tc>
        <w:tc>
          <w:tcPr>
            <w:tcW w:w="216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1C3A3FF5" w14:textId="77777777" w:rsidR="00A12189" w:rsidRPr="007D1EC2" w:rsidRDefault="00A12189" w:rsidP="00C93675">
            <w:pPr>
              <w:spacing w:before="120" w:after="300" w:line="20" w:lineRule="atLeast"/>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Mật độ dòng năng lượng S (W/m2)</w:t>
            </w:r>
          </w:p>
        </w:tc>
      </w:tr>
      <w:tr w:rsidR="00A12189" w:rsidRPr="007D1EC2" w14:paraId="42E74CAB" w14:textId="77777777" w:rsidTr="00A56610">
        <w:trPr>
          <w:trHeight w:val="20"/>
        </w:trPr>
        <w:tc>
          <w:tcPr>
            <w:tcW w:w="2160"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449FE28" w14:textId="77777777" w:rsidR="00A12189" w:rsidRPr="007D1EC2" w:rsidRDefault="00A12189" w:rsidP="00C93675">
            <w:pPr>
              <w:spacing w:before="120" w:after="300"/>
              <w:jc w:val="both"/>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0,003 đến 0,1</w:t>
            </w:r>
          </w:p>
          <w:p w14:paraId="75A7FE4B" w14:textId="77777777" w:rsidR="00A12189" w:rsidRPr="007D1EC2" w:rsidRDefault="00A12189" w:rsidP="00C93675">
            <w:pPr>
              <w:spacing w:before="120" w:after="300"/>
              <w:jc w:val="both"/>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0,1 đến 1</w:t>
            </w:r>
          </w:p>
          <w:p w14:paraId="48D3720C" w14:textId="77777777" w:rsidR="00A12189" w:rsidRPr="007D1EC2" w:rsidRDefault="00A12189" w:rsidP="00C93675">
            <w:pPr>
              <w:spacing w:before="120" w:after="300"/>
              <w:jc w:val="both"/>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1 đến 10</w:t>
            </w:r>
          </w:p>
          <w:p w14:paraId="72CB0A80" w14:textId="77777777" w:rsidR="00A12189" w:rsidRPr="007D1EC2" w:rsidRDefault="00A12189" w:rsidP="00C93675">
            <w:pPr>
              <w:spacing w:before="120" w:after="300"/>
              <w:jc w:val="both"/>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10 đến 400</w:t>
            </w:r>
          </w:p>
          <w:p w14:paraId="725ED006" w14:textId="77777777" w:rsidR="00A12189" w:rsidRPr="007D1EC2" w:rsidRDefault="00A12189" w:rsidP="00C93675">
            <w:pPr>
              <w:spacing w:before="120" w:after="300" w:line="20" w:lineRule="atLeast"/>
              <w:jc w:val="both"/>
              <w:rPr>
                <w:rFonts w:ascii="Times New Roman" w:eastAsia="Times New Roman" w:hAnsi="Times New Roman" w:cs="Times New Roman"/>
                <w:color w:val="646464"/>
                <w:sz w:val="28"/>
                <w:szCs w:val="28"/>
              </w:rPr>
            </w:pPr>
            <w:r w:rsidRPr="007D1EC2">
              <w:rPr>
                <w:rFonts w:ascii="Times New Roman" w:eastAsia="Times New Roman" w:hAnsi="Times New Roman" w:cs="Times New Roman"/>
                <w:color w:val="000000" w:themeColor="text1"/>
                <w:sz w:val="28"/>
                <w:szCs w:val="28"/>
              </w:rPr>
              <w:t>400 đến 300000</w:t>
            </w:r>
          </w:p>
        </w:tc>
        <w:tc>
          <w:tcPr>
            <w:tcW w:w="243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3A5F7C60"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87</w:t>
            </w:r>
          </w:p>
          <w:p w14:paraId="7C335500"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87</w:t>
            </w:r>
          </w:p>
          <w:p w14:paraId="5850D0F1"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vertAlign w:val="superscript"/>
              </w:rPr>
            </w:pPr>
            <w:r w:rsidRPr="007D1EC2">
              <w:rPr>
                <w:rFonts w:ascii="Times New Roman" w:eastAsia="Times New Roman" w:hAnsi="Times New Roman" w:cs="Times New Roman"/>
                <w:color w:val="000000" w:themeColor="text1"/>
                <w:sz w:val="28"/>
                <w:szCs w:val="28"/>
              </w:rPr>
              <w:t>87/f</w:t>
            </w:r>
            <w:r w:rsidRPr="007D1EC2">
              <w:rPr>
                <w:rFonts w:ascii="Times New Roman" w:eastAsia="Times New Roman" w:hAnsi="Times New Roman" w:cs="Times New Roman"/>
                <w:color w:val="000000" w:themeColor="text1"/>
                <w:sz w:val="28"/>
                <w:szCs w:val="28"/>
                <w:vertAlign w:val="superscript"/>
              </w:rPr>
              <w:t>0,5</w:t>
            </w:r>
          </w:p>
          <w:p w14:paraId="2F6C95C7"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27,5</w:t>
            </w:r>
          </w:p>
          <w:p w14:paraId="73BAC02B" w14:textId="77777777" w:rsidR="00A12189" w:rsidRPr="007D1EC2" w:rsidRDefault="00A12189" w:rsidP="00C93675">
            <w:pPr>
              <w:spacing w:before="120" w:after="300" w:line="20" w:lineRule="atLeast"/>
              <w:jc w:val="center"/>
              <w:rPr>
                <w:rFonts w:ascii="Times New Roman" w:eastAsia="Times New Roman" w:hAnsi="Times New Roman" w:cs="Times New Roman"/>
                <w:color w:val="646464"/>
                <w:sz w:val="28"/>
                <w:szCs w:val="28"/>
              </w:rPr>
            </w:pPr>
            <w:r w:rsidRPr="007D1EC2">
              <w:rPr>
                <w:rFonts w:ascii="Times New Roman" w:eastAsia="Times New Roman" w:hAnsi="Times New Roman" w:cs="Times New Roman"/>
                <w:color w:val="000000" w:themeColor="text1"/>
                <w:sz w:val="28"/>
                <w:szCs w:val="28"/>
              </w:rPr>
              <w:t>27,5</w:t>
            </w:r>
          </w:p>
        </w:tc>
        <w:tc>
          <w:tcPr>
            <w:tcW w:w="243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5E6B1965"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0,73</w:t>
            </w:r>
          </w:p>
          <w:p w14:paraId="4DBA278F"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vertAlign w:val="superscript"/>
              </w:rPr>
            </w:pPr>
            <w:r w:rsidRPr="007D1EC2">
              <w:rPr>
                <w:rFonts w:ascii="Times New Roman" w:eastAsia="Times New Roman" w:hAnsi="Times New Roman" w:cs="Times New Roman"/>
                <w:color w:val="000000" w:themeColor="text1"/>
                <w:sz w:val="28"/>
                <w:szCs w:val="28"/>
              </w:rPr>
              <w:t>0,23/f</w:t>
            </w:r>
            <w:r w:rsidRPr="007D1EC2">
              <w:rPr>
                <w:rFonts w:ascii="Times New Roman" w:eastAsia="Times New Roman" w:hAnsi="Times New Roman" w:cs="Times New Roman"/>
                <w:color w:val="000000" w:themeColor="text1"/>
                <w:sz w:val="28"/>
                <w:szCs w:val="28"/>
                <w:vertAlign w:val="superscript"/>
              </w:rPr>
              <w:t>0,5</w:t>
            </w:r>
          </w:p>
          <w:p w14:paraId="798C7A0E"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vertAlign w:val="superscript"/>
              </w:rPr>
            </w:pPr>
            <w:r w:rsidRPr="007D1EC2">
              <w:rPr>
                <w:rFonts w:ascii="Times New Roman" w:eastAsia="Times New Roman" w:hAnsi="Times New Roman" w:cs="Times New Roman"/>
                <w:color w:val="000000" w:themeColor="text1"/>
                <w:sz w:val="28"/>
                <w:szCs w:val="28"/>
              </w:rPr>
              <w:t>0,23/f</w:t>
            </w:r>
            <w:r w:rsidRPr="007D1EC2">
              <w:rPr>
                <w:rFonts w:ascii="Times New Roman" w:eastAsia="Times New Roman" w:hAnsi="Times New Roman" w:cs="Times New Roman"/>
                <w:color w:val="000000" w:themeColor="text1"/>
                <w:sz w:val="28"/>
                <w:szCs w:val="28"/>
                <w:vertAlign w:val="superscript"/>
              </w:rPr>
              <w:t>0,5</w:t>
            </w:r>
          </w:p>
          <w:p w14:paraId="1D335483"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0,073</w:t>
            </w:r>
          </w:p>
          <w:p w14:paraId="553DEEF2" w14:textId="77777777" w:rsidR="00A12189" w:rsidRPr="007D1EC2" w:rsidRDefault="00A12189" w:rsidP="00C93675">
            <w:pPr>
              <w:spacing w:before="120" w:after="300" w:line="20" w:lineRule="atLeast"/>
              <w:jc w:val="center"/>
              <w:rPr>
                <w:rFonts w:ascii="Times New Roman" w:eastAsia="Times New Roman" w:hAnsi="Times New Roman" w:cs="Times New Roman"/>
                <w:color w:val="646464"/>
                <w:sz w:val="28"/>
                <w:szCs w:val="28"/>
              </w:rPr>
            </w:pPr>
            <w:r w:rsidRPr="007D1EC2">
              <w:rPr>
                <w:rFonts w:ascii="Times New Roman" w:eastAsia="Times New Roman" w:hAnsi="Times New Roman" w:cs="Times New Roman"/>
                <w:color w:val="000000" w:themeColor="text1"/>
                <w:sz w:val="28"/>
                <w:szCs w:val="28"/>
              </w:rPr>
              <w:t>0,073</w:t>
            </w:r>
          </w:p>
        </w:tc>
        <w:tc>
          <w:tcPr>
            <w:tcW w:w="2160"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14:paraId="44048D16"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w:t>
            </w:r>
          </w:p>
          <w:p w14:paraId="7DA5504B"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w:t>
            </w:r>
          </w:p>
          <w:p w14:paraId="4A063C24"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w:t>
            </w:r>
          </w:p>
          <w:p w14:paraId="6C3E0452" w14:textId="77777777" w:rsidR="00A12189" w:rsidRPr="007D1EC2" w:rsidRDefault="00A12189" w:rsidP="00C93675">
            <w:pPr>
              <w:spacing w:before="120" w:after="300"/>
              <w:jc w:val="center"/>
              <w:rPr>
                <w:rFonts w:ascii="Times New Roman" w:eastAsia="Times New Roman" w:hAnsi="Times New Roman" w:cs="Times New Roman"/>
                <w:color w:val="000000" w:themeColor="text1"/>
                <w:sz w:val="28"/>
                <w:szCs w:val="28"/>
              </w:rPr>
            </w:pPr>
            <w:r w:rsidRPr="007D1EC2">
              <w:rPr>
                <w:rFonts w:ascii="Times New Roman" w:eastAsia="Times New Roman" w:hAnsi="Times New Roman" w:cs="Times New Roman"/>
                <w:color w:val="000000" w:themeColor="text1"/>
                <w:sz w:val="28"/>
                <w:szCs w:val="28"/>
              </w:rPr>
              <w:t>2</w:t>
            </w:r>
          </w:p>
          <w:p w14:paraId="2238B66D" w14:textId="77777777" w:rsidR="00A12189" w:rsidRPr="007D1EC2" w:rsidRDefault="00A12189" w:rsidP="00C93675">
            <w:pPr>
              <w:spacing w:before="120" w:after="300" w:line="20" w:lineRule="atLeast"/>
              <w:jc w:val="center"/>
              <w:rPr>
                <w:rFonts w:ascii="Times New Roman" w:eastAsia="Times New Roman" w:hAnsi="Times New Roman" w:cs="Times New Roman"/>
                <w:color w:val="646464"/>
                <w:sz w:val="28"/>
                <w:szCs w:val="28"/>
              </w:rPr>
            </w:pPr>
            <w:r w:rsidRPr="007D1EC2">
              <w:rPr>
                <w:rFonts w:ascii="Times New Roman" w:eastAsia="Times New Roman" w:hAnsi="Times New Roman" w:cs="Times New Roman"/>
                <w:color w:val="000000" w:themeColor="text1"/>
                <w:sz w:val="28"/>
                <w:szCs w:val="28"/>
              </w:rPr>
              <w:t>2</w:t>
            </w:r>
          </w:p>
        </w:tc>
      </w:tr>
    </w:tbl>
    <w:p w14:paraId="3E751B0E" w14:textId="714DB0DB" w:rsidR="00C602D2" w:rsidRPr="007D1EC2" w:rsidRDefault="00814A36" w:rsidP="00C602D2">
      <w:pPr>
        <w:pStyle w:val="ListParagraph"/>
        <w:spacing w:after="0" w:line="240" w:lineRule="auto"/>
        <w:ind w:left="0"/>
        <w:jc w:val="both"/>
        <w:rPr>
          <w:bCs/>
          <w:sz w:val="28"/>
          <w:szCs w:val="28"/>
          <w:highlight w:val="white"/>
          <w:u w:color="FF0000"/>
        </w:rPr>
      </w:pPr>
      <w:r w:rsidRPr="007D1EC2">
        <w:rPr>
          <w:b/>
          <w:bCs/>
          <w:color w:val="000000" w:themeColor="text1"/>
          <w:sz w:val="28"/>
          <w:szCs w:val="28"/>
          <w:highlight w:val="white"/>
          <w:u w:color="FF0000"/>
        </w:rPr>
        <w:t xml:space="preserve"> </w:t>
      </w:r>
      <w:r w:rsidR="003C77B2" w:rsidRPr="007D1EC2">
        <w:rPr>
          <w:b/>
          <w:bCs/>
          <w:color w:val="000000" w:themeColor="text1"/>
          <w:sz w:val="28"/>
          <w:szCs w:val="28"/>
          <w:u w:color="FF0000"/>
        </w:rPr>
        <w:t xml:space="preserve">  </w:t>
      </w:r>
      <w:r w:rsidR="00D92EC1" w:rsidRPr="007D1EC2">
        <w:rPr>
          <w:b/>
          <w:bCs/>
          <w:color w:val="000000" w:themeColor="text1"/>
          <w:sz w:val="28"/>
          <w:szCs w:val="28"/>
          <w:u w:color="FF0000"/>
        </w:rPr>
        <w:t xml:space="preserve">    </w:t>
      </w:r>
      <w:r w:rsidR="006B7067" w:rsidRPr="007D1EC2">
        <w:rPr>
          <w:rFonts w:eastAsia="Times New Roman"/>
          <w:sz w:val="28"/>
          <w:szCs w:val="28"/>
        </w:rPr>
        <w:t>(</w:t>
      </w:r>
      <w:r w:rsidRPr="007D1EC2">
        <w:rPr>
          <w:rFonts w:eastAsia="Times New Roman"/>
          <w:sz w:val="28"/>
          <w:szCs w:val="28"/>
        </w:rPr>
        <w:t>+</w:t>
      </w:r>
      <w:r w:rsidR="006B7067" w:rsidRPr="007D1EC2">
        <w:rPr>
          <w:rFonts w:eastAsia="Times New Roman"/>
          <w:sz w:val="28"/>
          <w:szCs w:val="28"/>
        </w:rPr>
        <w:t xml:space="preserve">) </w:t>
      </w:r>
      <w:r w:rsidR="00BD38C9" w:rsidRPr="007D1EC2">
        <w:rPr>
          <w:rFonts w:eastAsia="Times New Roman"/>
          <w:sz w:val="28"/>
          <w:szCs w:val="28"/>
        </w:rPr>
        <w:t xml:space="preserve">Ở </w:t>
      </w:r>
      <w:r w:rsidRPr="007D1EC2">
        <w:rPr>
          <w:rFonts w:eastAsia="Times New Roman"/>
          <w:sz w:val="28"/>
          <w:szCs w:val="28"/>
        </w:rPr>
        <w:t xml:space="preserve">dải tần số này, </w:t>
      </w:r>
      <w:r w:rsidR="00BD38C9" w:rsidRPr="007D1EC2">
        <w:rPr>
          <w:rFonts w:eastAsia="Times New Roman"/>
          <w:sz w:val="28"/>
          <w:szCs w:val="28"/>
        </w:rPr>
        <w:t xml:space="preserve">việc sử dụng tiêu chí S </w:t>
      </w:r>
      <w:r w:rsidRPr="007D1EC2">
        <w:rPr>
          <w:rFonts w:eastAsia="Times New Roman"/>
          <w:sz w:val="28"/>
          <w:szCs w:val="28"/>
        </w:rPr>
        <w:t>là không phù hợp</w:t>
      </w:r>
      <w:r w:rsidR="00BF2764" w:rsidRPr="007D1EC2">
        <w:rPr>
          <w:rFonts w:eastAsia="Times New Roman"/>
          <w:sz w:val="28"/>
          <w:szCs w:val="28"/>
        </w:rPr>
        <w:t>.</w:t>
      </w:r>
    </w:p>
    <w:p w14:paraId="15DD0AF2" w14:textId="7BB687E4" w:rsidR="00010BA6" w:rsidRPr="007D1EC2" w:rsidRDefault="007C3BD1" w:rsidP="00C602D2">
      <w:pPr>
        <w:pStyle w:val="ListParagraph"/>
        <w:spacing w:after="0" w:line="240" w:lineRule="auto"/>
        <w:ind w:left="0"/>
        <w:jc w:val="both"/>
        <w:rPr>
          <w:rFonts w:eastAsiaTheme="minorHAnsi"/>
          <w:sz w:val="28"/>
          <w:szCs w:val="28"/>
        </w:rPr>
      </w:pPr>
      <w:r w:rsidRPr="007D1EC2">
        <w:rPr>
          <w:rFonts w:eastAsiaTheme="minorHAnsi"/>
          <w:sz w:val="28"/>
          <w:szCs w:val="28"/>
        </w:rPr>
        <w:t xml:space="preserve">           </w:t>
      </w:r>
      <w:r w:rsidR="006B7067" w:rsidRPr="007D1EC2">
        <w:rPr>
          <w:sz w:val="28"/>
          <w:szCs w:val="28"/>
          <w:shd w:val="clear" w:color="auto" w:fill="FFFFFF"/>
        </w:rPr>
        <w:t xml:space="preserve">f là </w:t>
      </w:r>
      <w:r w:rsidR="00CF10B0" w:rsidRPr="007D1EC2">
        <w:rPr>
          <w:sz w:val="28"/>
          <w:szCs w:val="28"/>
          <w:shd w:val="clear" w:color="auto" w:fill="FFFFFF"/>
        </w:rPr>
        <w:t xml:space="preserve">giá trị </w:t>
      </w:r>
      <w:r w:rsidR="006B7067" w:rsidRPr="007D1EC2">
        <w:rPr>
          <w:sz w:val="28"/>
          <w:szCs w:val="28"/>
          <w:shd w:val="clear" w:color="auto" w:fill="FFFFFF"/>
        </w:rPr>
        <w:t>tầ</w:t>
      </w:r>
      <w:r w:rsidR="00E47A5F" w:rsidRPr="007D1EC2">
        <w:rPr>
          <w:sz w:val="28"/>
          <w:szCs w:val="28"/>
          <w:shd w:val="clear" w:color="auto" w:fill="FFFFFF"/>
        </w:rPr>
        <w:t>n số</w:t>
      </w:r>
      <w:r w:rsidR="00CF10B0" w:rsidRPr="007D1EC2">
        <w:rPr>
          <w:sz w:val="28"/>
          <w:szCs w:val="28"/>
          <w:shd w:val="clear" w:color="auto" w:fill="FFFFFF"/>
        </w:rPr>
        <w:t>,</w:t>
      </w:r>
      <w:r w:rsidR="006B7067" w:rsidRPr="007D1EC2">
        <w:rPr>
          <w:sz w:val="28"/>
          <w:szCs w:val="28"/>
          <w:shd w:val="clear" w:color="auto" w:fill="FFFFFF"/>
        </w:rPr>
        <w:t xml:space="preserve"> tính bằng MHz. </w:t>
      </w:r>
    </w:p>
    <w:p w14:paraId="60B37164" w14:textId="77777777" w:rsidR="007C3BD1" w:rsidRPr="007D1EC2" w:rsidRDefault="007C3BD1" w:rsidP="00C602D2">
      <w:pPr>
        <w:pStyle w:val="ListParagraph"/>
        <w:spacing w:after="0" w:line="240" w:lineRule="auto"/>
        <w:ind w:left="0"/>
        <w:jc w:val="both"/>
        <w:rPr>
          <w:b/>
          <w:bCs/>
          <w:color w:val="000000" w:themeColor="text1"/>
          <w:sz w:val="28"/>
          <w:szCs w:val="28"/>
          <w:highlight w:val="white"/>
          <w:u w:color="FF0000"/>
        </w:rPr>
      </w:pPr>
    </w:p>
    <w:p w14:paraId="2D9BC73F" w14:textId="75BD8E2A" w:rsidR="007B2FB8" w:rsidRPr="007D1EC2" w:rsidRDefault="007B2FB8" w:rsidP="007D1EC2">
      <w:pPr>
        <w:pStyle w:val="ListParagraph"/>
        <w:spacing w:after="0" w:line="240" w:lineRule="auto"/>
        <w:ind w:left="0"/>
        <w:jc w:val="right"/>
        <w:rPr>
          <w:b/>
          <w:bCs/>
          <w:color w:val="FF0000"/>
          <w:sz w:val="24"/>
          <w:szCs w:val="24"/>
          <w:highlight w:val="white"/>
          <w:u w:color="FF0000"/>
        </w:rPr>
      </w:pPr>
      <w:r w:rsidRPr="007D1EC2">
        <w:rPr>
          <w:b/>
          <w:bCs/>
          <w:iCs/>
          <w:sz w:val="24"/>
          <w:szCs w:val="24"/>
        </w:rPr>
        <w:t>TĂNG TẤN CHIẾN</w:t>
      </w:r>
    </w:p>
    <w:p w14:paraId="4C378996" w14:textId="77777777" w:rsidR="00C602D2" w:rsidRPr="007D1EC2" w:rsidRDefault="00C602D2" w:rsidP="00C602D2">
      <w:pPr>
        <w:pStyle w:val="ListParagraph"/>
        <w:spacing w:after="0" w:line="240" w:lineRule="auto"/>
        <w:ind w:left="0"/>
        <w:jc w:val="both"/>
        <w:rPr>
          <w:b/>
          <w:bCs/>
          <w:color w:val="FF0000"/>
          <w:sz w:val="28"/>
          <w:szCs w:val="28"/>
          <w:highlight w:val="white"/>
          <w:u w:color="FF0000"/>
        </w:rPr>
      </w:pPr>
    </w:p>
    <w:p w14:paraId="09A62732" w14:textId="77777777" w:rsidR="00AA75E7" w:rsidRPr="007D1EC2" w:rsidRDefault="00AA75E7" w:rsidP="007D1EC2">
      <w:pPr>
        <w:pStyle w:val="ListParagraph"/>
        <w:spacing w:after="0" w:line="240" w:lineRule="auto"/>
        <w:ind w:left="0"/>
        <w:jc w:val="both"/>
        <w:rPr>
          <w:b/>
          <w:bCs/>
          <w:color w:val="000000" w:themeColor="text1"/>
          <w:sz w:val="24"/>
          <w:szCs w:val="24"/>
          <w:highlight w:val="white"/>
          <w:u w:color="FF0000"/>
        </w:rPr>
      </w:pPr>
      <w:r w:rsidRPr="007D1EC2">
        <w:rPr>
          <w:b/>
          <w:bCs/>
          <w:iCs/>
          <w:color w:val="000000" w:themeColor="text1"/>
          <w:sz w:val="24"/>
          <w:szCs w:val="24"/>
          <w:lang w:val="vi-VN"/>
        </w:rPr>
        <w:t>Tài liệu tham khảo</w:t>
      </w:r>
      <w:r w:rsidRPr="007D1EC2">
        <w:rPr>
          <w:color w:val="000000" w:themeColor="text1"/>
          <w:sz w:val="24"/>
          <w:szCs w:val="24"/>
          <w:lang w:val="vi-VN"/>
        </w:rPr>
        <w:t xml:space="preserve"> </w:t>
      </w:r>
    </w:p>
    <w:p w14:paraId="463A6BA0" w14:textId="77777777" w:rsidR="004B34A5" w:rsidRPr="007D1EC2" w:rsidRDefault="0076010D" w:rsidP="005D49DB">
      <w:pPr>
        <w:rPr>
          <w:rFonts w:ascii="Times New Roman" w:hAnsi="Times New Roman" w:cs="Times New Roman"/>
        </w:rPr>
      </w:pPr>
      <w:r w:rsidRPr="007D1EC2">
        <w:rPr>
          <w:rFonts w:ascii="Times New Roman" w:hAnsi="Times New Roman" w:cs="Times New Roman"/>
        </w:rPr>
        <w:t>[1</w:t>
      </w:r>
      <w:r w:rsidR="00BF112A" w:rsidRPr="007D1EC2">
        <w:rPr>
          <w:rFonts w:ascii="Times New Roman" w:hAnsi="Times New Roman" w:cs="Times New Roman"/>
        </w:rPr>
        <w:t xml:space="preserve">] QCVN 47: 2015/BTTTT, </w:t>
      </w:r>
      <w:r w:rsidR="00BF112A" w:rsidRPr="007D1EC2">
        <w:rPr>
          <w:rFonts w:ascii="Times New Roman" w:hAnsi="Times New Roman" w:cs="Times New Roman"/>
          <w:i/>
        </w:rPr>
        <w:t>Quy chuẩn</w:t>
      </w:r>
      <w:r w:rsidR="00BF112A" w:rsidRPr="007D1EC2">
        <w:rPr>
          <w:rFonts w:ascii="Times New Roman" w:hAnsi="Times New Roman" w:cs="Times New Roman"/>
        </w:rPr>
        <w:t xml:space="preserve"> </w:t>
      </w:r>
      <w:r w:rsidR="00BF112A" w:rsidRPr="007D1EC2">
        <w:rPr>
          <w:rFonts w:ascii="Times New Roman" w:hAnsi="Times New Roman" w:cs="Times New Roman"/>
          <w:i/>
        </w:rPr>
        <w:t>Kỹ thuật Quốc gia về</w:t>
      </w:r>
      <w:r w:rsidR="00E202BF" w:rsidRPr="007D1EC2">
        <w:rPr>
          <w:rFonts w:ascii="Times New Roman" w:hAnsi="Times New Roman" w:cs="Times New Roman"/>
          <w:i/>
        </w:rPr>
        <w:t xml:space="preserve"> p</w:t>
      </w:r>
      <w:r w:rsidR="00BF112A" w:rsidRPr="007D1EC2">
        <w:rPr>
          <w:rFonts w:ascii="Times New Roman" w:hAnsi="Times New Roman" w:cs="Times New Roman"/>
          <w:i/>
        </w:rPr>
        <w:t xml:space="preserve">hổ tần số và bức xạ vô tuyến điện áp dụng cho các thiết bị thu phát vô tuyến điện, </w:t>
      </w:r>
      <w:r w:rsidR="00BF112A" w:rsidRPr="007D1EC2">
        <w:rPr>
          <w:rFonts w:ascii="Times New Roman" w:hAnsi="Times New Roman" w:cs="Times New Roman"/>
        </w:rPr>
        <w:t>2015.</w:t>
      </w:r>
    </w:p>
    <w:p w14:paraId="4A3FB762" w14:textId="77777777" w:rsidR="00F10C9B" w:rsidRPr="007D1EC2" w:rsidRDefault="0076010D" w:rsidP="005D49DB">
      <w:pPr>
        <w:rPr>
          <w:rFonts w:ascii="Times New Roman" w:hAnsi="Times New Roman" w:cs="Times New Roman"/>
        </w:rPr>
      </w:pPr>
      <w:r w:rsidRPr="007D1EC2">
        <w:rPr>
          <w:rFonts w:ascii="Times New Roman" w:hAnsi="Times New Roman" w:cs="Times New Roman"/>
        </w:rPr>
        <w:t>[2</w:t>
      </w:r>
      <w:r w:rsidR="004B34A5" w:rsidRPr="007D1EC2">
        <w:rPr>
          <w:rFonts w:ascii="Times New Roman" w:hAnsi="Times New Roman" w:cs="Times New Roman"/>
        </w:rPr>
        <w:t xml:space="preserve">] </w:t>
      </w:r>
      <w:r w:rsidR="00B51714" w:rsidRPr="007D1EC2">
        <w:rPr>
          <w:rFonts w:ascii="Times New Roman" w:hAnsi="Times New Roman" w:cs="Times New Roman"/>
          <w:bCs/>
        </w:rPr>
        <w:t xml:space="preserve">QCVN 8: 2010/BTTTT, </w:t>
      </w:r>
      <w:r w:rsidR="00B51714" w:rsidRPr="007D1EC2">
        <w:rPr>
          <w:rFonts w:ascii="Times New Roman" w:hAnsi="Times New Roman" w:cs="Times New Roman"/>
          <w:bCs/>
          <w:i/>
        </w:rPr>
        <w:t>Quy chuẩn Kỹ thuật Quốc gia về phơi nhiễ</w:t>
      </w:r>
      <w:r w:rsidR="001A0CCE" w:rsidRPr="007D1EC2">
        <w:rPr>
          <w:rFonts w:ascii="Times New Roman" w:hAnsi="Times New Roman" w:cs="Times New Roman"/>
          <w:bCs/>
          <w:i/>
        </w:rPr>
        <w:t>m t</w:t>
      </w:r>
      <w:r w:rsidR="00B51714" w:rsidRPr="007D1EC2">
        <w:rPr>
          <w:rFonts w:ascii="Times New Roman" w:hAnsi="Times New Roman" w:cs="Times New Roman"/>
          <w:bCs/>
          <w:i/>
        </w:rPr>
        <w:t xml:space="preserve">rường điện từ của các trạm gốc điện thoại di động mặt đất công cộng, </w:t>
      </w:r>
      <w:r w:rsidR="00B51714" w:rsidRPr="007D1EC2">
        <w:rPr>
          <w:rFonts w:ascii="Times New Roman" w:hAnsi="Times New Roman" w:cs="Times New Roman"/>
          <w:bCs/>
        </w:rPr>
        <w:t>2010.</w:t>
      </w:r>
      <w:r w:rsidR="00F10C9B" w:rsidRPr="007D1EC2">
        <w:rPr>
          <w:rFonts w:ascii="Times New Roman" w:hAnsi="Times New Roman" w:cs="Times New Roman"/>
        </w:rPr>
        <w:t xml:space="preserve"> </w:t>
      </w:r>
    </w:p>
    <w:p w14:paraId="096B17C7" w14:textId="77777777" w:rsidR="00AA75E7" w:rsidRPr="007D1EC2" w:rsidRDefault="0076010D" w:rsidP="005D49DB">
      <w:pPr>
        <w:rPr>
          <w:rFonts w:ascii="Times New Roman" w:hAnsi="Times New Roman" w:cs="Times New Roman"/>
          <w:bCs/>
          <w:color w:val="000000" w:themeColor="text1"/>
        </w:rPr>
      </w:pPr>
      <w:r w:rsidRPr="007D1EC2">
        <w:rPr>
          <w:rFonts w:ascii="Times New Roman" w:hAnsi="Times New Roman" w:cs="Times New Roman"/>
        </w:rPr>
        <w:t>[3</w:t>
      </w:r>
      <w:r w:rsidR="00AA75E7" w:rsidRPr="007D1EC2">
        <w:rPr>
          <w:rFonts w:ascii="Times New Roman" w:hAnsi="Times New Roman" w:cs="Times New Roman"/>
        </w:rPr>
        <w:t xml:space="preserve">] </w:t>
      </w:r>
      <w:r w:rsidR="00B64332" w:rsidRPr="007D1EC2">
        <w:rPr>
          <w:rFonts w:ascii="Times New Roman" w:hAnsi="Times New Roman" w:cs="Times New Roman"/>
          <w:color w:val="000000" w:themeColor="text1"/>
        </w:rPr>
        <w:t xml:space="preserve">Tiêu chuẩn </w:t>
      </w:r>
      <w:r w:rsidR="00B64332" w:rsidRPr="007D1EC2">
        <w:rPr>
          <w:rFonts w:ascii="Times New Roman" w:hAnsi="Times New Roman" w:cs="Times New Roman"/>
          <w:color w:val="000000" w:themeColor="text1"/>
          <w:shd w:val="clear" w:color="auto" w:fill="FFFFFF"/>
        </w:rPr>
        <w:t>TCVN 3718-1:2005</w:t>
      </w:r>
      <w:r w:rsidR="00E202BF" w:rsidRPr="007D1EC2">
        <w:rPr>
          <w:rFonts w:ascii="Times New Roman" w:hAnsi="Times New Roman" w:cs="Times New Roman"/>
          <w:color w:val="000000" w:themeColor="text1"/>
          <w:shd w:val="clear" w:color="auto" w:fill="FFFFFF"/>
        </w:rPr>
        <w:t xml:space="preserve">, </w:t>
      </w:r>
      <w:r w:rsidR="00B64332" w:rsidRPr="007D1EC2">
        <w:rPr>
          <w:rFonts w:ascii="Times New Roman" w:hAnsi="Times New Roman" w:cs="Times New Roman"/>
          <w:i/>
          <w:color w:val="000000" w:themeColor="text1"/>
          <w:shd w:val="clear" w:color="auto" w:fill="FFFFFF"/>
        </w:rPr>
        <w:t>Quản lý an toàn trong bức xạ tần số Radio,</w:t>
      </w:r>
      <w:r w:rsidR="00B64332" w:rsidRPr="007D1EC2">
        <w:rPr>
          <w:rFonts w:ascii="Times New Roman" w:hAnsi="Times New Roman" w:cs="Times New Roman"/>
          <w:color w:val="000000" w:themeColor="text1"/>
          <w:shd w:val="clear" w:color="auto" w:fill="FFFFFF"/>
        </w:rPr>
        <w:t xml:space="preserve"> </w:t>
      </w:r>
      <w:r w:rsidR="00B64332" w:rsidRPr="007D1EC2">
        <w:rPr>
          <w:rFonts w:ascii="Times New Roman" w:hAnsi="Times New Roman" w:cs="Times New Roman"/>
          <w:bCs/>
          <w:i/>
          <w:color w:val="000000" w:themeColor="text1"/>
        </w:rPr>
        <w:t>phần 1: Mức phơi nhiễm lớn nhất trong dải tần từ 3kHz đến 300GHz</w:t>
      </w:r>
      <w:r w:rsidR="00B64332" w:rsidRPr="007D1EC2">
        <w:rPr>
          <w:rFonts w:ascii="Times New Roman" w:hAnsi="Times New Roman" w:cs="Times New Roman"/>
          <w:bCs/>
          <w:color w:val="000000" w:themeColor="text1"/>
        </w:rPr>
        <w:t xml:space="preserve">, </w:t>
      </w:r>
      <w:r w:rsidR="00B64332" w:rsidRPr="007D1EC2">
        <w:rPr>
          <w:rFonts w:ascii="Times New Roman" w:hAnsi="Times New Roman" w:cs="Times New Roman"/>
          <w:color w:val="000000" w:themeColor="text1"/>
          <w:shd w:val="clear" w:color="auto" w:fill="FFFFFF"/>
        </w:rPr>
        <w:t xml:space="preserve">Bộ </w:t>
      </w:r>
      <w:r w:rsidR="00A73DE5" w:rsidRPr="007D1EC2">
        <w:rPr>
          <w:rFonts w:ascii="Times New Roman" w:hAnsi="Times New Roman" w:cs="Times New Roman"/>
          <w:color w:val="000000" w:themeColor="text1"/>
          <w:shd w:val="clear" w:color="auto" w:fill="FFFFFF"/>
        </w:rPr>
        <w:t>KH&amp;CN</w:t>
      </w:r>
      <w:r w:rsidR="00B64332" w:rsidRPr="007D1EC2">
        <w:rPr>
          <w:rFonts w:ascii="Times New Roman" w:hAnsi="Times New Roman" w:cs="Times New Roman"/>
          <w:color w:val="000000" w:themeColor="text1"/>
          <w:shd w:val="clear" w:color="auto" w:fill="FFFFFF"/>
        </w:rPr>
        <w:t>, 2005.</w:t>
      </w:r>
    </w:p>
    <w:p w14:paraId="6C7BD35B" w14:textId="77777777" w:rsidR="00AA75E7" w:rsidRPr="007D1EC2" w:rsidRDefault="0076010D" w:rsidP="005D49DB">
      <w:pPr>
        <w:outlineLvl w:val="2"/>
        <w:rPr>
          <w:rFonts w:ascii="Times New Roman" w:eastAsia="Times New Roman" w:hAnsi="Times New Roman" w:cs="Times New Roman"/>
        </w:rPr>
      </w:pPr>
      <w:r w:rsidRPr="007D1EC2">
        <w:rPr>
          <w:rFonts w:ascii="Times New Roman" w:eastAsia="Times New Roman" w:hAnsi="Times New Roman" w:cs="Times New Roman"/>
        </w:rPr>
        <w:t>[4</w:t>
      </w:r>
      <w:r w:rsidR="00AA75E7" w:rsidRPr="007D1EC2">
        <w:rPr>
          <w:rFonts w:ascii="Times New Roman" w:eastAsia="Times New Roman" w:hAnsi="Times New Roman" w:cs="Times New Roman"/>
        </w:rPr>
        <w:t>] https://www.cdc.gov/nceh/radiation/nonionizing_radiation.html</w:t>
      </w:r>
    </w:p>
    <w:p w14:paraId="65682E63" w14:textId="77777777" w:rsidR="007F660B" w:rsidRPr="007D1EC2" w:rsidRDefault="0076010D" w:rsidP="005D49DB">
      <w:pPr>
        <w:rPr>
          <w:rFonts w:ascii="Times New Roman" w:hAnsi="Times New Roman" w:cs="Times New Roman"/>
          <w:shd w:val="clear" w:color="auto" w:fill="FFFFFF"/>
        </w:rPr>
      </w:pPr>
      <w:r w:rsidRPr="007D1EC2">
        <w:rPr>
          <w:rFonts w:ascii="Times New Roman" w:hAnsi="Times New Roman" w:cs="Times New Roman"/>
          <w:shd w:val="clear" w:color="auto" w:fill="FFFFFF"/>
        </w:rPr>
        <w:t>[5</w:t>
      </w:r>
      <w:r w:rsidR="00AA75E7" w:rsidRPr="007D1EC2">
        <w:rPr>
          <w:rFonts w:ascii="Times New Roman" w:hAnsi="Times New Roman" w:cs="Times New Roman"/>
          <w:shd w:val="clear" w:color="auto" w:fill="FFFFFF"/>
        </w:rPr>
        <w:t xml:space="preserve">] </w:t>
      </w:r>
      <w:hyperlink r:id="rId6" w:tgtFrame="_blank" w:history="1">
        <w:r w:rsidR="00AA75E7" w:rsidRPr="007D1EC2">
          <w:rPr>
            <w:rStyle w:val="Hyperlink"/>
            <w:rFonts w:ascii="Times New Roman" w:hAnsi="Times New Roman" w:cs="Times New Roman"/>
            <w:color w:val="auto"/>
            <w:u w:val="none"/>
            <w:shd w:val="clear" w:color="auto" w:fill="FFFFFF"/>
          </w:rPr>
          <w:t>https://www.saferemr.com/2020/11 / GAO-5G-Report-2020.html</w:t>
        </w:r>
      </w:hyperlink>
    </w:p>
    <w:p w14:paraId="68C86E32" w14:textId="77777777" w:rsidR="00AA75E7" w:rsidRPr="007D1EC2" w:rsidRDefault="0076010D" w:rsidP="00B27F66">
      <w:pPr>
        <w:rPr>
          <w:rFonts w:ascii="Times New Roman" w:hAnsi="Times New Roman" w:cs="Times New Roman"/>
          <w:bCs/>
          <w:iCs/>
        </w:rPr>
      </w:pPr>
      <w:r w:rsidRPr="007D1EC2">
        <w:rPr>
          <w:rFonts w:ascii="Times New Roman" w:hAnsi="Times New Roman" w:cs="Times New Roman"/>
          <w:bCs/>
          <w:iCs/>
        </w:rPr>
        <w:t>[6</w:t>
      </w:r>
      <w:r w:rsidR="00DC7F63" w:rsidRPr="007D1EC2">
        <w:rPr>
          <w:rFonts w:ascii="Times New Roman" w:hAnsi="Times New Roman" w:cs="Times New Roman"/>
          <w:bCs/>
          <w:iCs/>
        </w:rPr>
        <w:t>]</w:t>
      </w:r>
      <w:r w:rsidR="00B27F66" w:rsidRPr="007D1EC2">
        <w:rPr>
          <w:rFonts w:ascii="Times New Roman" w:hAnsi="Times New Roman" w:cs="Times New Roman"/>
          <w:bCs/>
          <w:iCs/>
        </w:rPr>
        <w:t xml:space="preserve"> </w:t>
      </w:r>
      <w:r w:rsidR="00AA75E7" w:rsidRPr="007D1EC2">
        <w:rPr>
          <w:rFonts w:ascii="Times New Roman" w:hAnsi="Times New Roman" w:cs="Times New Roman"/>
          <w:bCs/>
          <w:iCs/>
        </w:rPr>
        <w:t>https://www.fcc.gov/consumers/guides/specific-absorpti</w:t>
      </w:r>
      <w:r w:rsidR="00C5457E" w:rsidRPr="007D1EC2">
        <w:rPr>
          <w:rFonts w:ascii="Times New Roman" w:hAnsi="Times New Roman" w:cs="Times New Roman"/>
          <w:bCs/>
          <w:iCs/>
        </w:rPr>
        <w:t xml:space="preserve">on-rate-sar-cell-phones-what-it </w:t>
      </w:r>
      <w:r w:rsidR="00AA75E7" w:rsidRPr="007D1EC2">
        <w:rPr>
          <w:rFonts w:ascii="Times New Roman" w:hAnsi="Times New Roman" w:cs="Times New Roman"/>
          <w:bCs/>
          <w:iCs/>
        </w:rPr>
        <w:t>means-you</w:t>
      </w:r>
    </w:p>
    <w:sectPr w:rsidR="00AA75E7" w:rsidRPr="007D1EC2" w:rsidSect="007D1EC2">
      <w:pgSz w:w="12240" w:h="15840"/>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55393"/>
    <w:multiLevelType w:val="multilevel"/>
    <w:tmpl w:val="E86E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D6A98"/>
    <w:multiLevelType w:val="hybridMultilevel"/>
    <w:tmpl w:val="D4FC7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E7510"/>
    <w:multiLevelType w:val="hybridMultilevel"/>
    <w:tmpl w:val="C5AE4DA8"/>
    <w:lvl w:ilvl="0" w:tplc="8C365E60">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C53B3"/>
    <w:multiLevelType w:val="hybridMultilevel"/>
    <w:tmpl w:val="34087036"/>
    <w:lvl w:ilvl="0" w:tplc="B7A26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50C"/>
    <w:rsid w:val="000010A6"/>
    <w:rsid w:val="00010BA6"/>
    <w:rsid w:val="00036447"/>
    <w:rsid w:val="00053E24"/>
    <w:rsid w:val="00072FF9"/>
    <w:rsid w:val="000737BC"/>
    <w:rsid w:val="00082892"/>
    <w:rsid w:val="00086635"/>
    <w:rsid w:val="00095780"/>
    <w:rsid w:val="000A323B"/>
    <w:rsid w:val="000B0199"/>
    <w:rsid w:val="000B5D35"/>
    <w:rsid w:val="000C1B07"/>
    <w:rsid w:val="000C76D2"/>
    <w:rsid w:val="000D5E02"/>
    <w:rsid w:val="001016F7"/>
    <w:rsid w:val="00102FA2"/>
    <w:rsid w:val="0010497B"/>
    <w:rsid w:val="00113741"/>
    <w:rsid w:val="001160A5"/>
    <w:rsid w:val="00117460"/>
    <w:rsid w:val="00125AE5"/>
    <w:rsid w:val="00130C26"/>
    <w:rsid w:val="001656E6"/>
    <w:rsid w:val="001669DB"/>
    <w:rsid w:val="00174637"/>
    <w:rsid w:val="00174743"/>
    <w:rsid w:val="00174F12"/>
    <w:rsid w:val="00186018"/>
    <w:rsid w:val="001A0CCE"/>
    <w:rsid w:val="001A7167"/>
    <w:rsid w:val="001B2075"/>
    <w:rsid w:val="001B2AFA"/>
    <w:rsid w:val="001B4715"/>
    <w:rsid w:val="001B56F9"/>
    <w:rsid w:val="001D2A68"/>
    <w:rsid w:val="001E3297"/>
    <w:rsid w:val="001E7830"/>
    <w:rsid w:val="002065E6"/>
    <w:rsid w:val="00215EBC"/>
    <w:rsid w:val="0022681B"/>
    <w:rsid w:val="002412E7"/>
    <w:rsid w:val="0026514B"/>
    <w:rsid w:val="00277A74"/>
    <w:rsid w:val="00292E2A"/>
    <w:rsid w:val="002A35DC"/>
    <w:rsid w:val="002E1222"/>
    <w:rsid w:val="002F1FB8"/>
    <w:rsid w:val="0031427E"/>
    <w:rsid w:val="00315DBB"/>
    <w:rsid w:val="00330804"/>
    <w:rsid w:val="0033279C"/>
    <w:rsid w:val="0033360B"/>
    <w:rsid w:val="003449C2"/>
    <w:rsid w:val="003640CA"/>
    <w:rsid w:val="00381309"/>
    <w:rsid w:val="00392602"/>
    <w:rsid w:val="003B1C70"/>
    <w:rsid w:val="003C4067"/>
    <w:rsid w:val="003C461C"/>
    <w:rsid w:val="003C77B2"/>
    <w:rsid w:val="003D4CF6"/>
    <w:rsid w:val="003E310C"/>
    <w:rsid w:val="003F252E"/>
    <w:rsid w:val="003F3569"/>
    <w:rsid w:val="003F58F4"/>
    <w:rsid w:val="00405CB6"/>
    <w:rsid w:val="00405F3A"/>
    <w:rsid w:val="00406E60"/>
    <w:rsid w:val="00411DB0"/>
    <w:rsid w:val="004247F6"/>
    <w:rsid w:val="00430552"/>
    <w:rsid w:val="00451879"/>
    <w:rsid w:val="00467E22"/>
    <w:rsid w:val="00495E0C"/>
    <w:rsid w:val="004B34A5"/>
    <w:rsid w:val="004D3444"/>
    <w:rsid w:val="004E57A7"/>
    <w:rsid w:val="004F12E9"/>
    <w:rsid w:val="00512F5B"/>
    <w:rsid w:val="00516897"/>
    <w:rsid w:val="00525196"/>
    <w:rsid w:val="005277FC"/>
    <w:rsid w:val="005524BC"/>
    <w:rsid w:val="005769F4"/>
    <w:rsid w:val="00581153"/>
    <w:rsid w:val="00581A45"/>
    <w:rsid w:val="00584752"/>
    <w:rsid w:val="005A3C27"/>
    <w:rsid w:val="005B71C2"/>
    <w:rsid w:val="005C0A62"/>
    <w:rsid w:val="005D49DB"/>
    <w:rsid w:val="005D5BAC"/>
    <w:rsid w:val="005D64E7"/>
    <w:rsid w:val="005F70FC"/>
    <w:rsid w:val="00605B09"/>
    <w:rsid w:val="00613623"/>
    <w:rsid w:val="006259A6"/>
    <w:rsid w:val="0064459B"/>
    <w:rsid w:val="00654AA6"/>
    <w:rsid w:val="0068350C"/>
    <w:rsid w:val="00683A4F"/>
    <w:rsid w:val="00693CC2"/>
    <w:rsid w:val="006B42F2"/>
    <w:rsid w:val="006B434A"/>
    <w:rsid w:val="006B7067"/>
    <w:rsid w:val="006C33E1"/>
    <w:rsid w:val="006D37FF"/>
    <w:rsid w:val="006D387C"/>
    <w:rsid w:val="006D7800"/>
    <w:rsid w:val="006E4ED1"/>
    <w:rsid w:val="006F4A86"/>
    <w:rsid w:val="006F703D"/>
    <w:rsid w:val="0070362A"/>
    <w:rsid w:val="007055B4"/>
    <w:rsid w:val="00712BD5"/>
    <w:rsid w:val="00735581"/>
    <w:rsid w:val="00744ACD"/>
    <w:rsid w:val="0076010D"/>
    <w:rsid w:val="00767C1F"/>
    <w:rsid w:val="00781204"/>
    <w:rsid w:val="00794D90"/>
    <w:rsid w:val="007B2FB8"/>
    <w:rsid w:val="007C14F6"/>
    <w:rsid w:val="007C3BD1"/>
    <w:rsid w:val="007D1EC2"/>
    <w:rsid w:val="007D6AC4"/>
    <w:rsid w:val="007D6DF3"/>
    <w:rsid w:val="007E1ABB"/>
    <w:rsid w:val="007E72A5"/>
    <w:rsid w:val="007F660B"/>
    <w:rsid w:val="008026DF"/>
    <w:rsid w:val="00814A36"/>
    <w:rsid w:val="00856D1E"/>
    <w:rsid w:val="00875ED1"/>
    <w:rsid w:val="008817FF"/>
    <w:rsid w:val="008826A0"/>
    <w:rsid w:val="00883E69"/>
    <w:rsid w:val="008879F2"/>
    <w:rsid w:val="0089466E"/>
    <w:rsid w:val="00895BB7"/>
    <w:rsid w:val="008A0010"/>
    <w:rsid w:val="008C304E"/>
    <w:rsid w:val="008C3832"/>
    <w:rsid w:val="008C5891"/>
    <w:rsid w:val="008D1FE2"/>
    <w:rsid w:val="0091577D"/>
    <w:rsid w:val="00925598"/>
    <w:rsid w:val="00932206"/>
    <w:rsid w:val="009358EA"/>
    <w:rsid w:val="009414E0"/>
    <w:rsid w:val="009416FE"/>
    <w:rsid w:val="00945934"/>
    <w:rsid w:val="00954411"/>
    <w:rsid w:val="00955682"/>
    <w:rsid w:val="00971355"/>
    <w:rsid w:val="009723B1"/>
    <w:rsid w:val="009728FE"/>
    <w:rsid w:val="00981690"/>
    <w:rsid w:val="00983C5F"/>
    <w:rsid w:val="00997A6A"/>
    <w:rsid w:val="009C4685"/>
    <w:rsid w:val="009D193C"/>
    <w:rsid w:val="009D4152"/>
    <w:rsid w:val="009D5A19"/>
    <w:rsid w:val="009D7D41"/>
    <w:rsid w:val="009E4B54"/>
    <w:rsid w:val="009F6985"/>
    <w:rsid w:val="00A05FCE"/>
    <w:rsid w:val="00A12189"/>
    <w:rsid w:val="00A1600B"/>
    <w:rsid w:val="00A21B7A"/>
    <w:rsid w:val="00A31423"/>
    <w:rsid w:val="00A32AB2"/>
    <w:rsid w:val="00A4608A"/>
    <w:rsid w:val="00A5267A"/>
    <w:rsid w:val="00A541F7"/>
    <w:rsid w:val="00A55A63"/>
    <w:rsid w:val="00A55C07"/>
    <w:rsid w:val="00A560D7"/>
    <w:rsid w:val="00A56610"/>
    <w:rsid w:val="00A73DE5"/>
    <w:rsid w:val="00A74896"/>
    <w:rsid w:val="00A90854"/>
    <w:rsid w:val="00A93F9F"/>
    <w:rsid w:val="00AA672E"/>
    <w:rsid w:val="00AA75E7"/>
    <w:rsid w:val="00AD2D73"/>
    <w:rsid w:val="00AD300A"/>
    <w:rsid w:val="00AD741A"/>
    <w:rsid w:val="00AF0C03"/>
    <w:rsid w:val="00AF6895"/>
    <w:rsid w:val="00AF6C2C"/>
    <w:rsid w:val="00B14481"/>
    <w:rsid w:val="00B16818"/>
    <w:rsid w:val="00B2051D"/>
    <w:rsid w:val="00B213B2"/>
    <w:rsid w:val="00B2567A"/>
    <w:rsid w:val="00B27F66"/>
    <w:rsid w:val="00B35FBB"/>
    <w:rsid w:val="00B47CBB"/>
    <w:rsid w:val="00B51714"/>
    <w:rsid w:val="00B57B3F"/>
    <w:rsid w:val="00B61293"/>
    <w:rsid w:val="00B64332"/>
    <w:rsid w:val="00B7509A"/>
    <w:rsid w:val="00B7601C"/>
    <w:rsid w:val="00B87D56"/>
    <w:rsid w:val="00B937A8"/>
    <w:rsid w:val="00B95FD7"/>
    <w:rsid w:val="00B97B98"/>
    <w:rsid w:val="00BA1467"/>
    <w:rsid w:val="00BA7228"/>
    <w:rsid w:val="00BB1237"/>
    <w:rsid w:val="00BD38C9"/>
    <w:rsid w:val="00BD5191"/>
    <w:rsid w:val="00BD535B"/>
    <w:rsid w:val="00BF112A"/>
    <w:rsid w:val="00BF2764"/>
    <w:rsid w:val="00C2141E"/>
    <w:rsid w:val="00C22B03"/>
    <w:rsid w:val="00C40D3E"/>
    <w:rsid w:val="00C5457E"/>
    <w:rsid w:val="00C602D2"/>
    <w:rsid w:val="00C634D3"/>
    <w:rsid w:val="00C65C93"/>
    <w:rsid w:val="00C660DE"/>
    <w:rsid w:val="00C70747"/>
    <w:rsid w:val="00C7323F"/>
    <w:rsid w:val="00C74675"/>
    <w:rsid w:val="00C806C3"/>
    <w:rsid w:val="00C90F3F"/>
    <w:rsid w:val="00C95386"/>
    <w:rsid w:val="00CA3B8C"/>
    <w:rsid w:val="00CC6AE4"/>
    <w:rsid w:val="00CD2B36"/>
    <w:rsid w:val="00CD7086"/>
    <w:rsid w:val="00CE1D9B"/>
    <w:rsid w:val="00CE4252"/>
    <w:rsid w:val="00CF10B0"/>
    <w:rsid w:val="00D02AA3"/>
    <w:rsid w:val="00D05636"/>
    <w:rsid w:val="00D41AFF"/>
    <w:rsid w:val="00D51B2E"/>
    <w:rsid w:val="00D57FF0"/>
    <w:rsid w:val="00D6102E"/>
    <w:rsid w:val="00D6323A"/>
    <w:rsid w:val="00D65AF8"/>
    <w:rsid w:val="00D72266"/>
    <w:rsid w:val="00D7481D"/>
    <w:rsid w:val="00D7487C"/>
    <w:rsid w:val="00D9066B"/>
    <w:rsid w:val="00D9102D"/>
    <w:rsid w:val="00D92EC1"/>
    <w:rsid w:val="00D94F2C"/>
    <w:rsid w:val="00DB2A84"/>
    <w:rsid w:val="00DC7F63"/>
    <w:rsid w:val="00DD21EF"/>
    <w:rsid w:val="00DD6C8F"/>
    <w:rsid w:val="00DD7FB0"/>
    <w:rsid w:val="00DE13C3"/>
    <w:rsid w:val="00DE45FC"/>
    <w:rsid w:val="00DE5DB0"/>
    <w:rsid w:val="00DF59E4"/>
    <w:rsid w:val="00E202BF"/>
    <w:rsid w:val="00E47A5F"/>
    <w:rsid w:val="00E50535"/>
    <w:rsid w:val="00E54603"/>
    <w:rsid w:val="00E6642E"/>
    <w:rsid w:val="00E673C1"/>
    <w:rsid w:val="00E71BC7"/>
    <w:rsid w:val="00E87FB8"/>
    <w:rsid w:val="00E93F71"/>
    <w:rsid w:val="00E969EE"/>
    <w:rsid w:val="00E96ACA"/>
    <w:rsid w:val="00EA77DF"/>
    <w:rsid w:val="00EA7B82"/>
    <w:rsid w:val="00EB2093"/>
    <w:rsid w:val="00EC0B85"/>
    <w:rsid w:val="00EC6958"/>
    <w:rsid w:val="00ED0543"/>
    <w:rsid w:val="00EE2864"/>
    <w:rsid w:val="00EF7858"/>
    <w:rsid w:val="00F07DD3"/>
    <w:rsid w:val="00F10C9B"/>
    <w:rsid w:val="00F13FCC"/>
    <w:rsid w:val="00F2336F"/>
    <w:rsid w:val="00F42247"/>
    <w:rsid w:val="00F4558E"/>
    <w:rsid w:val="00F526AF"/>
    <w:rsid w:val="00F52714"/>
    <w:rsid w:val="00F72FA3"/>
    <w:rsid w:val="00F8140F"/>
    <w:rsid w:val="00F82F61"/>
    <w:rsid w:val="00F9773D"/>
    <w:rsid w:val="00FB2ECF"/>
    <w:rsid w:val="00FB51EE"/>
    <w:rsid w:val="00FC71CC"/>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E55F"/>
  <w15:docId w15:val="{F4C38253-1761-4791-99BB-B7EB12CE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8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5E7"/>
    <w:pPr>
      <w:spacing w:after="200" w:line="276" w:lineRule="auto"/>
      <w:ind w:left="720"/>
      <w:contextualSpacing/>
    </w:pPr>
    <w:rPr>
      <w:rFonts w:ascii="Times New Roman" w:eastAsia="Calibri" w:hAnsi="Times New Roman" w:cs="Times New Roman"/>
      <w:sz w:val="26"/>
      <w:szCs w:val="26"/>
    </w:rPr>
  </w:style>
  <w:style w:type="paragraph" w:styleId="NormalWeb">
    <w:name w:val="Normal (Web)"/>
    <w:basedOn w:val="Normal"/>
    <w:uiPriority w:val="99"/>
    <w:unhideWhenUsed/>
    <w:rsid w:val="00AA75E7"/>
    <w:pPr>
      <w:spacing w:after="100"/>
    </w:pPr>
    <w:rPr>
      <w:rFonts w:ascii="Times New Roman" w:eastAsia="Times New Roman" w:hAnsi="Times New Roman" w:cs="Times New Roman"/>
    </w:rPr>
  </w:style>
  <w:style w:type="character" w:customStyle="1" w:styleId="fontstyle01">
    <w:name w:val="fontstyle01"/>
    <w:basedOn w:val="DefaultParagraphFont"/>
    <w:rsid w:val="00AA75E7"/>
    <w:rPr>
      <w:rFonts w:ascii="TimesNewRomanPSMT" w:hAnsi="TimesNewRomanPSMT" w:hint="default"/>
      <w:b w:val="0"/>
      <w:bCs w:val="0"/>
      <w:i w:val="0"/>
      <w:iCs w:val="0"/>
      <w:color w:val="000000"/>
      <w:sz w:val="20"/>
      <w:szCs w:val="20"/>
    </w:rPr>
  </w:style>
  <w:style w:type="character" w:styleId="Hyperlink">
    <w:name w:val="Hyperlink"/>
    <w:basedOn w:val="DefaultParagraphFont"/>
    <w:uiPriority w:val="99"/>
    <w:unhideWhenUsed/>
    <w:rsid w:val="00AA75E7"/>
    <w:rPr>
      <w:color w:val="0000FF"/>
      <w:u w:val="single"/>
    </w:rPr>
  </w:style>
  <w:style w:type="character" w:styleId="Emphasis">
    <w:name w:val="Emphasis"/>
    <w:basedOn w:val="DefaultParagraphFont"/>
    <w:uiPriority w:val="20"/>
    <w:qFormat/>
    <w:rsid w:val="00AA75E7"/>
    <w:rPr>
      <w:i/>
      <w:iCs/>
    </w:rPr>
  </w:style>
  <w:style w:type="paragraph" w:styleId="BalloonText">
    <w:name w:val="Balloon Text"/>
    <w:basedOn w:val="Normal"/>
    <w:link w:val="BalloonTextChar"/>
    <w:uiPriority w:val="99"/>
    <w:semiHidden/>
    <w:unhideWhenUsed/>
    <w:rsid w:val="00AA75E7"/>
    <w:rPr>
      <w:rFonts w:ascii="Tahoma" w:hAnsi="Tahoma" w:cs="Tahoma"/>
      <w:sz w:val="16"/>
      <w:szCs w:val="16"/>
    </w:rPr>
  </w:style>
  <w:style w:type="character" w:customStyle="1" w:styleId="BalloonTextChar">
    <w:name w:val="Balloon Text Char"/>
    <w:basedOn w:val="DefaultParagraphFont"/>
    <w:link w:val="BalloonText"/>
    <w:uiPriority w:val="99"/>
    <w:semiHidden/>
    <w:rsid w:val="00AA75E7"/>
    <w:rPr>
      <w:rFonts w:ascii="Tahoma" w:hAnsi="Tahoma" w:cs="Tahoma"/>
      <w:sz w:val="16"/>
      <w:szCs w:val="16"/>
    </w:rPr>
  </w:style>
  <w:style w:type="character" w:styleId="PlaceholderText">
    <w:name w:val="Placeholder Text"/>
    <w:basedOn w:val="DefaultParagraphFont"/>
    <w:uiPriority w:val="99"/>
    <w:semiHidden/>
    <w:rsid w:val="00392602"/>
    <w:rPr>
      <w:color w:val="808080"/>
    </w:rPr>
  </w:style>
  <w:style w:type="character" w:customStyle="1" w:styleId="fontstyle21">
    <w:name w:val="fontstyle21"/>
    <w:basedOn w:val="DefaultParagraphFont"/>
    <w:rsid w:val="00516897"/>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501880">
      <w:bodyDiv w:val="1"/>
      <w:marLeft w:val="0"/>
      <w:marRight w:val="0"/>
      <w:marTop w:val="0"/>
      <w:marBottom w:val="0"/>
      <w:divBdr>
        <w:top w:val="none" w:sz="0" w:space="0" w:color="auto"/>
        <w:left w:val="none" w:sz="0" w:space="0" w:color="auto"/>
        <w:bottom w:val="none" w:sz="0" w:space="0" w:color="auto"/>
        <w:right w:val="none" w:sz="0" w:space="0" w:color="auto"/>
      </w:divBdr>
    </w:div>
    <w:div w:id="1351371274">
      <w:bodyDiv w:val="1"/>
      <w:marLeft w:val="0"/>
      <w:marRight w:val="0"/>
      <w:marTop w:val="0"/>
      <w:marBottom w:val="0"/>
      <w:divBdr>
        <w:top w:val="none" w:sz="0" w:space="0" w:color="auto"/>
        <w:left w:val="none" w:sz="0" w:space="0" w:color="auto"/>
        <w:bottom w:val="none" w:sz="0" w:space="0" w:color="auto"/>
        <w:right w:val="none" w:sz="0" w:space="0" w:color="auto"/>
      </w:divBdr>
    </w:div>
    <w:div w:id="1437940961">
      <w:bodyDiv w:val="1"/>
      <w:marLeft w:val="0"/>
      <w:marRight w:val="0"/>
      <w:marTop w:val="0"/>
      <w:marBottom w:val="0"/>
      <w:divBdr>
        <w:top w:val="none" w:sz="0" w:space="0" w:color="auto"/>
        <w:left w:val="none" w:sz="0" w:space="0" w:color="auto"/>
        <w:bottom w:val="none" w:sz="0" w:space="0" w:color="auto"/>
        <w:right w:val="none" w:sz="0" w:space="0" w:color="auto"/>
      </w:divBdr>
    </w:div>
    <w:div w:id="20571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feremr.com/2020/11/GAO-5G-Report-202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CB68-916D-4067-9999-C28290FC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Quynh Tran</cp:lastModifiedBy>
  <cp:revision>9</cp:revision>
  <dcterms:created xsi:type="dcterms:W3CDTF">2022-03-18T05:11:00Z</dcterms:created>
  <dcterms:modified xsi:type="dcterms:W3CDTF">2022-04-20T12:59:00Z</dcterms:modified>
</cp:coreProperties>
</file>